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2"/>
          <w:szCs w:val="52"/>
        </w:rPr>
        <w:t xml:space="preserve">WHAT THIS MEANS</w:t>
      </w:r>
    </w:p>
    <w:p>
      <w:pPr>
        <w:spacing w:after="100"/>
        <w:jc w:val="center"/>
      </w:pPr>
      <w:r>
        <w:rPr>
          <w:rFonts w:ascii="Arial" w:cs="Arial" w:eastAsia="Arial" w:hAnsi="Arial"/>
          <w:b/>
          <w:bCs/>
          <w:color w:val="1F4E78"/>
          <w:sz w:val="52"/>
          <w:szCs w:val="52"/>
        </w:rPr>
        <w:t xml:space="preserve">FOR YOU</w:t>
      </w:r>
    </w:p>
    <w:p>
      <w:pPr>
        <w:spacing w:after="200"/>
        <w:jc w:val="center"/>
      </w:pPr>
      <w:r>
        <w:rPr>
          <w:rFonts w:ascii="Arial" w:cs="Arial" w:eastAsia="Arial" w:hAnsi="Arial"/>
          <w:i/>
          <w:iCs/>
          <w:color w:val="C00000"/>
          <w:sz w:val="26"/>
          <w:szCs w:val="26"/>
        </w:rPr>
        <w:t xml:space="preserve">Side-by-Side Tax Comparisons by Filer Category</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you pay today.</w:t>
      </w:r>
    </w:p>
    <w:p>
      <w:pPr>
        <w:spacing w:after="200"/>
        <w:jc w:val="center"/>
      </w:pPr>
      <w:r>
        <w:rPr>
          <w:rFonts w:ascii="Georgia" w:cs="Georgia" w:eastAsia="Georgia" w:hAnsi="Georgia"/>
          <w:i/>
          <w:iCs/>
          <w:color w:val="1A1A1A"/>
          <w:sz w:val="24"/>
          <w:szCs w:val="24"/>
        </w:rPr>
        <w:t>WHICH YEAR THIS DOCUMENT DESCRIBES. The household comparisons in this document are MATURE-STATE figures. FICA is no longer paid as a separate tax, and the Community Contribution Plan has replaced it. For the TRANSITION-YEAR comparison, in which a FICA-equivalent contribution of 7.65 percent on the employee side continues while the legacy system is wound down, see 05_Does_This_Raise_Taxes.docx. THE TWO DOCUMENTS REPORT DIFFERENT SAVINGS FIGURES BECAUSE THEY DESCRIBE DIFFERENT YEARS, not because either is wrong. ONE LINE IS NOT A HOUSEHOLD COST. At maturity the Community Contribution Plan is 12 percent of covered earnings, of which 9.6 points go to the worker's OWN INDIVIDUAL ACCOUNT and 2.4 points to the Sovereign Fund. The individual-account portion is the worker's savings, not a payment out of the household; counting it as burden would overstate what the platform costs. Label added v3.8.160.</w:t>
      </w:r>
    </w:p>
    <w:p>
      <w:pPr>
        <w:spacing w:after="200"/>
        <w:jc w:val="center"/>
      </w:pPr>
      <w:r>
        <w:rPr>
          <w:rFonts w:ascii="Georgia" w:cs="Georgia" w:eastAsia="Georgia" w:hAnsi="Georgia"/>
          <w:i/>
          <w:iCs/>
          <w:color w:val="1A1A1A"/>
          <w:sz w:val="24"/>
          <w:szCs w:val="24"/>
        </w:rPr>
        <w:t>WHAT YOU PAY NO LONGER DEPENDS ON WHO EMPLOYS YOU. Under employer-sponsored insurance, two families with the same income and the same coverage can pay very different amounts, because the amount is set by their employer's plan. KFF's 2024 Employer Health Benefits Survey, page 11, reports family-coverage contributions averaging $7,947 at small firms against $5,697 at large firms — a $2,250 gap — and notes that twenty-one percent of small-firm workers are in plans costing them $12,000 or more.</w:t>
      </w:r>
    </w:p>
    <w:p>
      <w:pPr>
        <w:spacing w:after="200"/>
        <w:jc w:val="center"/>
      </w:pPr>
      <w:r>
        <w:rPr>
          <w:rFonts w:ascii="Georgia" w:cs="Georgia" w:eastAsia="Georgia" w:hAnsi="Georgia"/>
          <w:i/>
          <w:iCs/>
          <w:color w:val="1A1A1A"/>
          <w:sz w:val="24"/>
          <w:szCs w:val="24"/>
        </w:rPr>
        <w:t>Under the platform the healthcare contribution is a percentage of wages, so the same income produces the same contribution regardless of employer. A family at a small business is not saving the national average; it is saving considerably more. That benefit is invisible in an averaged comparison, which is why it is stated here separately. The firm-size figures are from the 2024 survey specifically; the 2025 survey does not repeat that breakdown. Added v3.8.161.</w:t>
      </w:r>
    </w:p>
    <w:p>
      <w:pPr>
        <w:spacing w:after="200"/>
        <w:jc w:val="center"/>
      </w:pPr>
      <w:r>
        <w:rPr>
          <w:rFonts w:ascii="Georgia" w:cs="Georgia" w:eastAsia="Georgia" w:hAnsi="Georgia"/>
          <w:i/>
          <w:iCs/>
          <w:color w:val="1A1A1A"/>
          <w:sz w:val="24"/>
          <w:szCs w:val="24"/>
        </w:rPr>
        <w:t xml:space="preserve">What you would pay under the platform.</w:t>
      </w:r>
    </w:p>
    <w:p>
      <w:pPr>
        <w:spacing w:after="1200"/>
        <w:jc w:val="center"/>
      </w:pPr>
      <w:r>
        <w:rPr>
          <w:rFonts w:ascii="Georgia" w:cs="Georgia" w:eastAsia="Georgia" w:hAnsi="Georgia"/>
          <w:i/>
          <w:iCs/>
          <w:color w:val="1A1A1A"/>
          <w:sz w:val="24"/>
          <w:szCs w:val="24"/>
        </w:rPr>
        <w:t xml:space="preserve">What each dollar buys in both cases.</w:t>
      </w:r>
    </w:p>
    <w:p>
      <w:pPr>
        <w:spacing w:before="1200"/>
      </w:pPr>
      <w:r>
        <w:t xml:space="preserve"/>
      </w:r>
    </w:p>
    <w:p>
      <w:pPr>
        <w:spacing w:after="80"/>
        <w:jc w:val="center"/>
      </w:pPr>
      <w:r>
        <w:rPr>
          <w:rFonts w:ascii="Georgia" w:cs="Georgia" w:eastAsia="Georgia" w:hAnsi="Georgia"/>
          <w:i/>
          <w:iCs/>
          <w:color w:val="595959"/>
          <w:sz w:val="22"/>
          <w:szCs w:val="22"/>
        </w:rPr>
        <w:t xml:space="preserve">A Reader-Accessible Comparison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v1.8  ·  Created May 2026  ·  Updated May 6, 2026 for v2.19 (cross-references)  ·  Updated May 6, 2026 for v2.26.2 (SIG-4: infrastructure fee section added)  ·  Updated May 6, 2026 for v2.28.3 (WTMFY worked examples refactor: high-earner scenarios recalculated with canonical OPEN-2 graduated structure; canonical OPEN-1 4%+2% healthcare split documented; closes deferred OPEN-1 secondary work)  ·  Updated May 6, 2026 for v2.30.3 (item 81 reverse-reference added in High-Earner Architecture section)  ·  Updated May 10, 2026 for v3.7.16 (Pillar 3 mention reflects v3.7.14 expansion) · content last changed v3.8.447</w:t>
      </w:r>
    </w:p>
    <w:p>
      <w:pPr>
        <w:jc w:val="center"/>
      </w:pPr>
      <w:r>
        <w:rPr>
          <w:rFonts w:ascii="Georgia" w:cs="Georgia" w:eastAsia="Georgia" w:hAnsi="Georgia"/>
          <w:color w:val="595959"/>
          <w:sz w:val="20"/>
          <w:szCs w:val="20"/>
        </w:rPr>
        <w:t xml:space="preserve">Ohio  ·  2026</w:t>
      </w:r>
    </w:p>
    <w:p>
      <w:r>
        <w:br w:type="page"/>
      </w:r>
    </w:p>
    <w:p>
      <w:pPr>
        <w:spacing w:before="480"/>
        <w:jc w:val="center"/>
      </w:pPr>
      <w:r>
        <w:rPr>
          <w:rFonts w:ascii="Arial" w:cs="Arial" w:eastAsia="Arial" w:hAnsi="Arial"/>
          <w:i/>
          <w:iCs/>
          <w:color w:val="595959"/>
          <w:sz w:val="16"/>
          <w:szCs w:val="16"/>
        </w:rPr>
        <w:t>Sources Baseline. Household-level numerical examples in this document derive from the We The People Calculator (06_We_The_People_Calculator.html), which itself implements 2024 IRS tax brackets, the platform's canonical contribution rates documented in OPEN-1, and the high-earner architecture documented in OPEN-2. See 05_Sources_And_Derivation_Convention.docx for the full sourcing taxonomy.</w:t>
      </w:r>
    </w:p>
    <w:p>
      <w:pPr>
        <w:pStyle w:val="Heading1"/>
        <w:spacing w:after="240" w:before="480"/>
      </w:pPr>
      <w:r>
        <w:rPr>
          <w:rFonts w:ascii="Arial" w:cs="Arial" w:eastAsia="Arial" w:hAnsi="Arial"/>
          <w:b/>
          <w:bCs/>
          <w:color w:val="1F4E78"/>
          <w:sz w:val="36"/>
          <w:szCs w:val="36"/>
        </w:rPr>
        <w:t xml:space="preserve">How to Read This Document</w:t>
      </w:r>
    </w:p>
    <w:p>
      <w:pPr>
        <w:spacing w:after="240" w:line="340"/>
        <w:jc w:val="both"/>
      </w:pPr>
      <w:r>
        <w:rPr>
          <w:rFonts w:ascii="Georgia" w:cs="Georgia" w:eastAsia="Georgia" w:hAnsi="Georgia"/>
          <w:color w:val="1A1A1A"/>
          <w:sz w:val="24"/>
          <w:szCs w:val="24"/>
        </w:rPr>
        <w:t>This document answers the question every reader asks before evaluating major tax reform: what does this actually mean for me? It walks through side-by-side comparisons for the typical filer categories — single without children, single parent with children, married filing jointly without children, married filing jointly with children — across the full income range from $20,000 (working poor) through $2 million (high earners). For each scenario, the document shows what you pay today, what you would pay under the platform, and what each dollar buys in both cases.  (Source baseline: see Sources_And_Derivation_Convention.docx.)</w:t>
      </w:r>
    </w:p>
    <w:p>
      <w:pPr>
        <w:spacing w:after="200" w:line="320"/>
        <w:jc w:val="both"/>
      </w:pPr>
      <w:r>
        <w:rPr>
          <w:rFonts w:ascii="Georgia" w:cs="Georgia" w:eastAsia="Georgia" w:hAnsi="Georgia"/>
          <w:color w:val="1A1A1A"/>
          <w:sz w:val="22"/>
          <w:szCs w:val="22"/>
        </w:rPr>
        <w:t xml:space="preserve">The document deliberately keeps the analysis simple. Real tax situations involve specific deductions, credits, retirement contributions, state taxes, and other variables that this document doesn't capture. The numbers here are representative rather than precise. A reader's actual tax situation will differ from these scenarios in ways that depend on individual circumstances. What this document establishes is the directional pattern: who saves under the platform, who pays slightly more, and what the trade-offs look like across the income distribution.</w:t>
      </w:r>
    </w:p>
    <w:p>
      <w:pPr>
        <w:spacing w:after="200" w:line="320"/>
        <w:jc w:val="both"/>
      </w:pPr>
      <w:r>
        <w:rPr>
          <w:rFonts w:ascii="Georgia" w:cs="Georgia" w:eastAsia="Georgia" w:hAnsi="Georgia"/>
          <w:color w:val="1A1A1A"/>
          <w:sz w:val="22"/>
          <w:szCs w:val="22"/>
        </w:rPr>
        <w:t xml:space="preserve">The most important honest point: this analysis covers only federal taxation and federal-level platform contributions. State income taxes, local taxes, and pillar contributions in their transition years are not addressed. The numbers represent the platform's mature steady-state operation, not the build phase when costs and benefits are still emerging in parallel.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is policy. Your tax bill is personal. This document translates the policy into your tax bill so you can evaluate whether the platform actually benefits you, given your specific situation.”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Reading guide: skip to the section that matches your filer category if you want your own answer first. Read the introductory section if you want to understand what the comparisons are showing. Read the caveats section at the end before drawing strong conclusions — the numbers are honest, but they have real limitations.</w:t>
            </w:r>
          </w:p>
        </w:tc>
      </w:tr>
    </w:tbl>
    <w:p>
      <w:r>
        <w:br w:type="page"/>
      </w:r>
    </w:p>
    <w:p>
      <w:pPr>
        <w:pStyle w:val="Heading1"/>
        <w:spacing w:after="240" w:before="480"/>
      </w:pPr>
      <w:r>
        <w:rPr>
          <w:rFonts w:ascii="Arial" w:cs="Arial" w:eastAsia="Arial" w:hAnsi="Arial"/>
          <w:b/>
          <w:bCs/>
          <w:color w:val="1F4E78"/>
          <w:sz w:val="36"/>
          <w:szCs w:val="36"/>
        </w:rPr>
        <w:t xml:space="preserve">What's Being Compared</w:t>
      </w:r>
    </w:p>
    <w:p>
      <w:pPr>
        <w:spacing w:after="240" w:line="340"/>
        <w:jc w:val="both"/>
      </w:pPr>
      <w:r>
        <w:rPr>
          <w:rFonts w:ascii="Georgia" w:cs="Georgia" w:eastAsia="Georgia" w:hAnsi="Georgia"/>
          <w:color w:val="1A1A1A"/>
          <w:sz w:val="24"/>
          <w:szCs w:val="24"/>
        </w:rPr>
        <w:t xml:space="preserve">Tax comparison is more complicated than most people realize. The current system has multiple separate components, and the platform reorganizes some of them while leaving others untouched. Before working through the scenarios, it helps to clarify what each side of the comparison includes.</w:t>
      </w:r>
    </w:p>
    <w:p>
      <w:pPr>
        <w:pStyle w:val="Heading2"/>
        <w:spacing w:after="160" w:before="360"/>
      </w:pPr>
      <w:r>
        <w:rPr>
          <w:rFonts w:ascii="Arial" w:cs="Arial" w:eastAsia="Arial" w:hAnsi="Arial"/>
          <w:b/>
          <w:bCs/>
          <w:color w:val="1F4E78"/>
          <w:sz w:val="28"/>
          <w:szCs w:val="28"/>
        </w:rPr>
        <w:t xml:space="preserve">The Current System Side</w:t>
      </w:r>
    </w:p>
    <w:p>
      <w:pPr>
        <w:spacing w:after="200" w:line="320"/>
        <w:jc w:val="both"/>
      </w:pPr>
      <w:r>
        <w:rPr>
          <w:rFonts w:ascii="Georgia" w:cs="Georgia" w:eastAsia="Georgia" w:hAnsi="Georgia"/>
          <w:color w:val="1A1A1A"/>
          <w:sz w:val="22"/>
          <w:szCs w:val="22"/>
        </w:rPr>
        <w:t xml:space="preserve">Under the current system (2024 tax rules), a working American typically pays:</w:t>
      </w:r>
    </w:p>
    <w:p>
      <w:pPr>
        <w:spacing w:after="200" w:line="320"/>
        <w:jc w:val="both"/>
      </w:pPr>
      <w:r>
        <w:rPr>
          <w:rFonts w:ascii="Georgia" w:cs="Georgia" w:eastAsia="Georgia" w:hAnsi="Georgia"/>
          <w:b/>
          <w:bCs/>
          <w:sz w:val="22"/>
          <w:szCs w:val="22"/>
        </w:rPr>
        <w:t>Federal income tax: Calculated on income above the standard deduction ($14,600 for single filers, $29,200 for married filing jointly), at progressive rates ranging from 10% to 37%. Reduced by Child Tax Credit ($2,000 per qualifying child), and by other deductions and credits depending on circumstances. Note: these tax comparisons use the tax-year-2024 federal code as a fixed analytical baseline; the One Big Beautiful Bill Act (July 2025) has since raised the Child Tax Credit to $2,200, increased standard deductions, and added new deductions, which would modestly narrow the platform's measured advantage. A full roll-forward is tracked as RESEARCH-22.</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 xml:space="preserve">Social Security tax: </w:t>
      </w:r>
      <w:r>
        <w:rPr>
          <w:rFonts w:ascii="Georgia" w:cs="Georgia" w:eastAsia="Georgia" w:hAnsi="Georgia"/>
          <w:color w:val="1A1A1A"/>
          <w:sz w:val="22"/>
          <w:szCs w:val="22"/>
        </w:rPr>
        <w:t xml:space="preserve">6.2% of wages up to the Social Security wage base ($184,500 in 2026, sealed 2026 Trustees Report table V.C1) [RESTATED v3.8.369 from '$168,600 in 2024'; the platform's baseline source is the sealed 2026 report]. Earnings above the cap are not subject to Social Security tax. The employer pays a matching 6.2% that doesn't appear on the worker's pay statement but is part of the total cost of employment.</w:t>
      </w:r>
    </w:p>
    <w:p>
      <w:pPr>
        <w:spacing w:after="200" w:line="320"/>
        <w:jc w:val="both"/>
      </w:pPr>
      <w:r>
        <w:rPr>
          <w:rFonts w:ascii="Georgia" w:cs="Georgia" w:eastAsia="Georgia" w:hAnsi="Georgia"/>
          <w:b/>
          <w:bCs/>
          <w:sz w:val="22"/>
          <w:szCs w:val="22"/>
        </w:rPr>
        <w:t xml:space="preserve">Medicare tax: </w:t>
      </w:r>
      <w:r>
        <w:rPr>
          <w:rFonts w:ascii="Georgia" w:cs="Georgia" w:eastAsia="Georgia" w:hAnsi="Georgia"/>
          <w:color w:val="1A1A1A"/>
          <w:sz w:val="22"/>
          <w:szCs w:val="22"/>
        </w:rPr>
        <w:t xml:space="preserve">1.45% of all wages with no cap. An additional 0.9% Medicare tax applies to wages above $200,000 for single filers and $250,000 for married filing jointly. Employer pays a matching 1.45% (without the additional 0.9%).</w:t>
      </w:r>
    </w:p>
    <w:p>
      <w:pPr>
        <w:spacing w:after="200" w:line="320"/>
        <w:jc w:val="both"/>
      </w:pPr>
      <w:r>
        <w:rPr>
          <w:rFonts w:ascii="Georgia" w:cs="Georgia" w:eastAsia="Georgia" w:hAnsi="Georgia"/>
          <w:b/>
          <w:bCs/>
          <w:sz w:val="22"/>
          <w:szCs w:val="22"/>
        </w:rPr>
        <w:t xml:space="preserve">Health insurance premium: </w:t>
      </w:r>
      <w:r>
        <w:rPr>
          <w:rFonts w:ascii="Georgia" w:cs="Georgia" w:eastAsia="Georgia" w:hAnsi="Georgia"/>
          <w:color w:val="1A1A1A"/>
          <w:sz w:val="22"/>
          <w:szCs w:val="22"/>
        </w:rPr>
        <w:t xml:space="preserve">For workers with employer-sponsored health insurance, the worker's share of the premium varies but averages approximately $1,400 per year for single coverage and $6,575 per year for family coverage (KFF 2024 employer health benefits survey). This isn't technically a tax, but it's a federally-shaped cost that workers must pay to get healthcare access tied to their employment.</w:t>
      </w:r>
    </w:p>
    <w:p>
      <w:pPr>
        <w:pStyle w:val="Heading2"/>
        <w:spacing w:after="160" w:before="360"/>
      </w:pPr>
      <w:r>
        <w:rPr>
          <w:rFonts w:ascii="Arial" w:cs="Arial" w:eastAsia="Arial" w:hAnsi="Arial"/>
          <w:b/>
          <w:bCs/>
          <w:color w:val="1F4E78"/>
          <w:sz w:val="28"/>
          <w:szCs w:val="28"/>
        </w:rPr>
        <w:t xml:space="preserve">The Platform Side</w:t>
      </w:r>
    </w:p>
    <w:p>
      <w:pPr>
        <w:spacing w:after="200" w:line="320"/>
        <w:jc w:val="both"/>
      </w:pPr>
      <w:r>
        <w:rPr>
          <w:rFonts w:ascii="Georgia" w:cs="Georgia" w:eastAsia="Georgia" w:hAnsi="Georgia"/>
          <w:color w:val="1A1A1A"/>
          <w:sz w:val="22"/>
          <w:szCs w:val="22"/>
        </w:rPr>
        <w:t xml:space="preserve">Under the platform's mature operation (with the wage floor tax architecture in effect), the same worker pays:</w:t>
      </w:r>
    </w:p>
    <w:p>
      <w:pPr>
        <w:spacing w:after="200" w:line="320"/>
        <w:jc w:val="both"/>
      </w:pPr>
      <w:r>
        <w:rPr>
          <w:rFonts w:ascii="Georgia" w:cs="Georgia" w:eastAsia="Georgia" w:hAnsi="Georgia"/>
          <w:b/>
          <w:bCs/>
          <w:sz w:val="22"/>
          <w:szCs w:val="22"/>
        </w:rPr>
        <w:t xml:space="preserve">Federal income tax: </w:t>
      </w:r>
      <w:r>
        <w:rPr>
          <w:rFonts w:ascii="Georgia" w:cs="Georgia" w:eastAsia="Georgia" w:hAnsi="Georgia"/>
          <w:color w:val="1A1A1A"/>
          <w:sz w:val="22"/>
          <w:szCs w:val="22"/>
        </w:rPr>
        <w:t xml:space="preserve">Calculated on income above the worker's occupational wage floor exemption (rather than the flat standard deduction). Full exemption applies up to 1.5x the wage floor; the exemption phases out from 1.5x to 2.5x the floor; income above 2.5x the floor receives no exemption. Married filing jointly filers receive a 1.5x larger exemption to reflect joint filing. Same progressive rates apply to taxable income.</w:t>
      </w:r>
    </w:p>
    <w:p>
      <w:pPr>
        <w:spacing w:after="200" w:line="320"/>
        <w:jc w:val="both"/>
      </w:pPr>
      <w:r>
        <w:rPr>
          <w:rFonts w:ascii="Georgia" w:cs="Georgia" w:eastAsia="Georgia" w:hAnsi="Georgia"/>
          <w:b/>
          <w:bCs/>
          <w:sz w:val="22"/>
          <w:szCs w:val="22"/>
        </w:rPr>
        <w:t xml:space="preserve">Higher-earner surcharges: </w:t>
      </w:r>
      <w:r>
        <w:rPr>
          <w:rFonts w:ascii="Georgia" w:cs="Georgia" w:eastAsia="Georgia" w:hAnsi="Georgia"/>
          <w:color w:val="1A1A1A"/>
          <w:sz w:val="22"/>
          <w:szCs w:val="22"/>
        </w:rPr>
        <w:t xml:space="preserve">Additional 5% on income above $250,000 (single) or $500,000 (MFJ). Additional 10% on income above $500,000 (single) or $1M (MFJ). Additional 15% on income above $1M (single) or $2M (MFJ). These surcharges replace some of the revenue lost to the wage floor exemption.</w:t>
      </w:r>
    </w:p>
    <w:p>
      <w:pPr>
        <w:spacing w:after="200" w:line="320"/>
        <w:jc w:val="both"/>
      </w:pPr>
      <w:r>
        <w:rPr>
          <w:rFonts w:ascii="Georgia" w:cs="Georgia" w:eastAsia="Georgia" w:hAnsi="Georgia"/>
          <w:b/>
          <w:bCs/>
          <w:sz w:val="22"/>
          <w:szCs w:val="22"/>
        </w:rPr>
        <w:t>Platform pillar contributions, shown both as employee share (paystub-visible) and employer share (paid by firm on worker's behalf), with the combined rate in parentheses: Universal Healthcare 2% employee + 4% employer (6% combined); Universal Childcare 0.5% employee + 0.8% employer (1.3% combined); Universal Mental Health 0.3% employee + 0.5% employer (0.8% combined); Universal Paid Family Time 0.15% employee + 0.25% employer (0.4% combined); Universal Long-Term Care 0.4% employee + 0.6% employer (1.0% combined). Employee-side total: 3.35% of wages up to the SS cap. Employer-side total: 6.15% of wages. Combined economic burden: 9.5% of wages — but this replaces private health insurance premiums, childcare costs, mental health out-of-pocket, parental leave income loss, and long-term care insurance for the household, so the household's net economic position is generally improved despite the higher payroll total.</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FICA (Federal Insurance Contributions Act) replacement: At platform maturity, Social Security and Medicare are replaced by Sovereign Fund contribution and universal healthcare access. The 6.2% + 1.45% = 7.65% FICA is no longer paid as a separate tax. The platform's equivalent funding comes from existing Sovereign Fund accumulation and the healthcare contribution. (During the transition years, this transition happens gradually — the comparison here represents the mature state.)</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 xml:space="preserve">Health insurance premium: </w:t>
      </w:r>
      <w:r>
        <w:rPr>
          <w:rFonts w:ascii="Georgia" w:cs="Georgia" w:eastAsia="Georgia" w:hAnsi="Georgia"/>
          <w:color w:val="1A1A1A"/>
          <w:sz w:val="22"/>
          <w:szCs w:val="22"/>
        </w:rPr>
        <w:t xml:space="preserve">Zero. Healthcare is universal under the platform; no separate worker premium is paid because there's no separate insurance plan to subscribe to.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The total federal cost under the platform is the sum of: (1) federal income tax with floor exemption, (2) high-earner surcharges if applicable, (3) the 4.8% pillar contributions. The total federal cost under the current system is the sum of: (1) federal income tax with standard deduction, (2) 7.65% FICA, (3) average health insurance premium. These are what the comparison tables show.</w:t>
            </w:r>
          </w:p>
        </w:tc>
      </w:tr>
    </w:tbl>
    <w:p>
      <w:r>
        <w:br w:type="page"/>
      </w:r>
    </w:p>
    <w:p>
      <w:pPr>
        <w:pStyle w:val="Heading1"/>
        <w:spacing w:after="240" w:before="480"/>
      </w:pPr>
      <w:r>
        <w:rPr>
          <w:rFonts w:ascii="Arial" w:cs="Arial" w:eastAsia="Arial" w:hAnsi="Arial"/>
          <w:b/>
          <w:bCs/>
          <w:color w:val="1F4E78"/>
          <w:sz w:val="36"/>
          <w:szCs w:val="36"/>
        </w:rPr>
        <w:t xml:space="preserve">Summary Comparison Across All Scenarios</w:t>
      </w:r>
    </w:p>
    <w:p>
      <w:pPr>
        <w:spacing w:after="240" w:line="340"/>
        <w:jc w:val="both"/>
      </w:pPr>
      <w:r>
        <w:rPr>
          <w:rFonts w:ascii="Georgia" w:cs="Georgia" w:eastAsia="Georgia" w:hAnsi="Georgia"/>
          <w:color w:val="1A1A1A"/>
          <w:sz w:val="24"/>
          <w:szCs w:val="24"/>
        </w:rPr>
        <w:t xml:space="preserve">The table below shows the bottom-line comparison for every scenario covered in this document. The detailed breakdown for each scenario follows in subsequent sections.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1500"/>
        <w:gridCol w:w="1500"/>
        <w:gridCol w:w="1500"/>
        <w:gridCol w:w="1500"/>
      </w:tblGrid>
      <w:tr>
        <w:tc>
          <w:tcPr>
            <w:tcW w:type="dxa" w:w="3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Scenario</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Current</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Platform</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Difference</w:t>
            </w:r>
          </w:p>
        </w:tc>
        <w:tc>
          <w:tcPr>
            <w:tcW w:type="dxa" w:w="1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 Change</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$20K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$4,605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$975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+$3,630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$35K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$7,429</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$1,995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+$5,434</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$10,376</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$3,215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+$7,161</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−69%</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$75K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$16,613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$6,383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+$10,230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−62%</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$100K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$24,026</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$10,868</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+$13,158</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−55%</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$150K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$39,549</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$30,257</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+$9,292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−23%</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$250K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$70,078</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$65,983</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+$4,095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$500K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$163,203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$165,983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−$2,780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$1M</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$357,474</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$398,796</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−$41,322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+12%</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no kids, $2M</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$750,974</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$918,796</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−$167,822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$20K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$7,165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$975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+$6,190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−86%</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$35K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$8,313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$1,695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+$6,618</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$9,460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+$7,045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−74%</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$75K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$13,413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+$9,798</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$100K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$19,826</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$5,284</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+$14,542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$250K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$67,648</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$60,290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+$7,358</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Single parent, 2 kids, $500K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$162,055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$160,290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+$1,765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$35K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$10,967</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$1,695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+$9,272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−85%</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$13,615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+$11,200</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−82%</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$75K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$18,479</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+$14,864</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$100K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$23,392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$7,351</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+$16,041</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−69%</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$150K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$35,867</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$22,071</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+$13,796</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−38%</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$250K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$60,865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$54,193</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+$6,672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$500K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$133,692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$123,857</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+$9,835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$1M</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$324,735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$329,233</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−$4,498</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no kids, $2M</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$718,235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$799,233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−$80,998</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$35K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$10,387</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$1,695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+$8,692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−84%</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$11,535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+$9,120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$75K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$14,479</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+$10,864</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−75%</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$100K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$19,392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$4,815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+$14,577</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−75%</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$150K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$31,867</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$18,071</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+$13,796</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−43%</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$250K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$56,865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$50,193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+$6,672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−12%</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$500K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$133,692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$119,857</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+$13,835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$1M</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$324,735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$325,233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−$498</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2 kids, $2M</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$718,235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$795,233</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−$76,998</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4 kids, $50K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$11,535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+$9,120</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4 kids, $75K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$13,447</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+$9,832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4 kids, $100K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$15,392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$4,815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+$10,577</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−69%</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4 kids, $150K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$27,867</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$14,071</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+$13,796</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w:t>
            </w:r>
          </w:p>
        </w:tc>
      </w:tr>
      <w:tr>
        <w:tc>
          <w:tcPr>
            <w:tcW w:type="dxa" w:w="3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4 kids, $250K</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$52,865</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$46,193</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+$6,672</w:t>
            </w:r>
          </w:p>
        </w:tc>
        <w:tc>
          <w:tcPr>
            <w:tcW w:type="dxa" w:w="1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w:t>
            </w:r>
          </w:p>
        </w:tc>
      </w:tr>
      <w:tr>
        <w:tc>
          <w:tcPr>
            <w:tcW w:type="dxa" w:w="3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MFJ, 4 kids, $500K</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$130,692</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$115,857</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+$14,835</w:t>
            </w:r>
          </w:p>
        </w:tc>
        <w:tc>
          <w:tcPr>
            <w:tcW w:type="dxa" w:w="1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w:t>
            </w:r>
          </w:p>
        </w:tc>
      </w:tr>
    </w:tbl>
    <w:p>
      <w:pPr>
        <w:spacing w:after="300"/>
      </w:pPr>
      <w:r>
        <w:t xml:space="preserve"/>
      </w:r>
    </w:p>
    <w:p>
      <w:pPr>
        <w:spacing w:after="200" w:line="320"/>
        <w:jc w:val="both"/>
      </w:pPr>
      <w:r>
        <w:rPr>
          <w:rFonts w:ascii="Georgia" w:cs="Georgia" w:eastAsia="Georgia" w:hAnsi="Georgia"/>
          <w:color w:val="1A1A1A"/>
          <w:sz w:val="22"/>
          <w:szCs w:val="22"/>
        </w:rPr>
        <w:t xml:space="preserve">Several patterns emerge from this expanded summary. First, the platform produces savings across nearly the entire income range up through approximately $500,000-$1,000,000, depending on filer category. Working-class households (under $50K) see savings of 65-88%. Middle-class households ($50K-$150K) see savings of 40-79%. Upper-middle-class households ($200K-$500K) see modest savings of 4-15%. Households earning above $1 million see real but moderate increases — typically 1-23% more than they pay today, with the magnitude depending on filer category and income level.</w:t>
      </w:r>
    </w:p>
    <w:p>
      <w:pPr>
        <w:spacing w:after="200" w:line="320"/>
        <w:jc w:val="both"/>
      </w:pPr>
      <w:r>
        <w:rPr>
          <w:rFonts w:ascii="Georgia" w:cs="Georgia" w:eastAsia="Georgia" w:hAnsi="Georgia"/>
          <w:color w:val="1A1A1A"/>
          <w:sz w:val="22"/>
          <w:szCs w:val="22"/>
        </w:rPr>
        <w:t xml:space="preserve">Second, the savings reach their peak in absolute dollar terms for middle-class families with children. A married couple with two kids earning $100K saves over $13,400 annually — the largest dollar savings of any scenario in the table. Single parents and married couples without children also see substantial savings in the same income range. The pattern reflects the platform's design priority: directing the largest benefits toward working families who currently bear disproportionate burden from the combination of healthcare premiums, FICA taxes, and federal income tax.</w:t>
      </w:r>
    </w:p>
    <w:p>
      <w:pPr>
        <w:spacing w:after="200" w:line="320"/>
        <w:jc w:val="both"/>
      </w:pPr>
      <w:r>
        <w:rPr>
          <w:rFonts w:ascii="Georgia" w:cs="Georgia" w:eastAsia="Georgia" w:hAnsi="Georgia"/>
          <w:color w:val="1A1A1A"/>
          <w:sz w:val="22"/>
          <w:szCs w:val="22"/>
        </w:rPr>
        <w:t>Third, the high-earner effects are real but moderate by comparison to peer-nation tax structures. A single earner at $1 million pays approximately $42,000 more under the platform than under the current system — a 12% increase. A married couple at $1 million sees roughly even results. Households earning $2 million pay 11-23% more depending on filing status. These are meaningful increases, but they represent a small fraction of the recipients' incomes and bring American high-earner taxation closer to peer-nation levels rather than to extreme rates.  (Source baseline: see Sources_And_Derivation_Convention.docx.)</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“Working-class and middle-class families save substantially. Upper-middle-class families save moderately. High earners pay slightly more. The platform redistributes burden away from those who can least afford it without producing transformative tax increases on those who can.”</w:t>
            </w:r>
          </w:p>
        </w:tc>
      </w:tr>
    </w:tbl>
    <w:p>
      <w:r>
        <w:br w:type="page"/>
      </w:r>
    </w:p>
    <w:p>
      <w:pPr>
        <w:pStyle w:val="Heading1"/>
        <w:spacing w:after="240" w:before="480"/>
      </w:pPr>
      <w:r>
        <w:rPr>
          <w:rFonts w:ascii="Arial" w:cs="Arial" w:eastAsia="Arial" w:hAnsi="Arial"/>
          <w:b/>
          <w:bCs/>
          <w:color w:val="1F4E78"/>
          <w:sz w:val="36"/>
          <w:szCs w:val="36"/>
        </w:rPr>
        <w:t xml:space="preserve">Single Filer, No Children</w:t>
      </w:r>
    </w:p>
    <w:p>
      <w:pPr>
        <w:spacing w:after="240" w:line="340"/>
        <w:jc w:val="both"/>
      </w:pPr>
      <w:r>
        <w:rPr>
          <w:rFonts w:ascii="Georgia" w:cs="Georgia" w:eastAsia="Georgia" w:hAnsi="Georgia"/>
          <w:color w:val="1A1A1A"/>
          <w:sz w:val="24"/>
          <w:szCs w:val="24"/>
        </w:rPr>
        <w:t>The simplest scenario: an unmarried adult with no dependents. The wage floor exemption applies at the standard 1.0x rate (married filers receive 1.5x); standard deduction in the current system is the smallest ($14,600); no Child Tax Credit applies.</w:t>
      </w:r>
    </w:p>
    <w:p>
      <w:pPr>
        <w:pStyle w:val="Heading2"/>
        <w:spacing w:after="160" w:before="360"/>
      </w:pPr>
      <w:r>
        <w:rPr>
          <w:rFonts w:ascii="Arial" w:cs="Arial" w:eastAsia="Arial" w:hAnsi="Arial"/>
          <w:b/>
          <w:bCs/>
          <w:color w:val="1F4E78"/>
          <w:sz w:val="28"/>
          <w:szCs w:val="28"/>
        </w:rPr>
        <w:t xml:space="preserve">Detailed Breakdown: $50,000 Single Earner</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500"/>
      </w:tblGrid>
      <w:tr>
        <w:tc>
          <w:tcPr>
            <w:tcW w:type="dxa" w:w="4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Item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Current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Platform</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Gross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$50,000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Deduction / Floor exemption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−$14,570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−$42,000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Taxable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$35,400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$8,000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Federal income tax</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$4,016</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$800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Social Security (6.2%)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[replaced]</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Medicare (1.45%)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$725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[absorbed]</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employee share (2%)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employee share (0.5%)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employee share (0.3%)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employer share (4%)</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combined (6%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employer share (0.8%)</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combined (1.3%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employer share (0.5%)</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combined (0.8%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Health insurance premium</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$1,400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Broadband subscription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Tax preparation (avg, half of households)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Identity theft / fraud expected loss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TOTAL (three values for Platform column reflect employee/employer/combined economic burden per Option E; see v3.7.23)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$10,376</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$2,215</w:t>
              <w:br/>
              <w:t>Employer-side (firm pays): $2,650</w:t>
              <w:br/>
              <w:t>Combined: $4,865</w:t>
            </w:r>
          </w:p>
        </w:tc>
      </w:tr>
    </w:tbl>
    <w:p>
      <w:pPr>
        <w:spacing w:after="300"/>
      </w:pPr>
      <w:r>
        <w:t xml:space="preserve"/>
      </w:r>
    </w:p>
    <w:p>
      <w:pPr>
        <w:spacing w:after="200" w:line="320"/>
        <w:jc w:val="both"/>
      </w:pPr>
      <w:r>
        <w:rPr>
          <w:rFonts w:ascii="Georgia" w:cs="Georgia" w:eastAsia="Georgia" w:hAnsi="Georgia"/>
          <w:color w:val="1A1A1A"/>
          <w:sz w:val="22"/>
          <w:szCs w:val="22"/>
        </w:rPr>
        <w:t>Annual savings: approximately $6,041. That's a 65% reduction in federal cost. The savings come from three sources: a larger exemption from federal income tax ($42,000 vs $14,600), elimination of FICA taxes (replaced by lower-rate platform contributions), and elimination of the health insurance premium (universal coverage).</w:t>
      </w:r>
    </w:p>
    <w:p>
      <w:pPr>
        <w:pStyle w:val="Heading2"/>
        <w:spacing w:after="160" w:before="360"/>
      </w:pPr>
      <w:r>
        <w:rPr>
          <w:rFonts w:ascii="Arial" w:cs="Arial" w:eastAsia="Arial" w:hAnsi="Arial"/>
          <w:b/>
          <w:bCs/>
          <w:color w:val="1F4E78"/>
          <w:sz w:val="28"/>
          <w:szCs w:val="28"/>
        </w:rPr>
        <w:t xml:space="preserve">How the Pattern Scales: Single Earners Across Income Levels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Income</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Current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Platform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Annual Savings</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$4,605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$975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+$3,630</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$5,487</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$1,215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+$4,272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$7,429</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$1,995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+$5,434</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$10,376</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+$7,161</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$16,613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$6,383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+$10,230</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$24,026</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$10,868</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+$13,158</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$39,549</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$30,257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+$9,291</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$53,427</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$49,794</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+$3,632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$70,078</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$65,983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+$4,095</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$107,178</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$105,983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+$1,195</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$163,203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$165,983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−$2,780</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$259,099</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$281,296</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−$22,197</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$357,474</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$398,796</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−$41,322</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$554,224</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$658,796</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−$104,572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$750,974</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$918,796</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−$167,822</w:t>
            </w:r>
          </w:p>
        </w:tc>
      </w:tr>
    </w:tbl>
    <w:p>
      <w:pPr>
        <w:spacing w:after="300"/>
      </w:pPr>
      <w:r>
        <w:t xml:space="preserve"/>
      </w:r>
    </w:p>
    <w:p>
      <w:pPr>
        <w:spacing w:after="200" w:line="320"/>
        <w:jc w:val="both"/>
      </w:pPr>
      <w:r>
        <w:rPr>
          <w:rFonts w:ascii="Georgia" w:cs="Georgia" w:eastAsia="Georgia" w:hAnsi="Georgia"/>
          <w:color w:val="1A1A1A"/>
          <w:sz w:val="22"/>
          <w:szCs w:val="22"/>
        </w:rPr>
        <w:t xml:space="preserve">The pattern across the full income range is clear: substantial savings at all income levels up through approximately $350,000, with the savings amount peaking around $100,000 ($12,038 annual savings, or 53% reduction). Above $350,000, the high-earner surcharge begins to substantially offset the wage floor exemption benefit, and at $500,000 the surcharge slightly exceeds the savings. Single high earners pay modestly more under the platform: $3,900 more at $500K, $42,442 more at $1M, and $168,942 more at $2M. The progression reflects the platform's design priority — working-class and middle-class workers benefit substantially while high earners contribute proportionally more.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A single earner making $100,000 saves about $12,038 per year under the platform. That's almost $1,003 per month back in their pocket, while also gaining universal healthcare coverage that the current system requires them to either purchase separately or accept job-lock to maintain.</w:t>
            </w:r>
          </w:p>
        </w:tc>
      </w:tr>
    </w:tbl>
    <w:p>
      <w:r>
        <w:br w:type="page"/>
      </w:r>
    </w:p>
    <w:p>
      <w:pPr>
        <w:pStyle w:val="Heading1"/>
        <w:spacing w:after="240" w:before="480"/>
      </w:pPr>
      <w:r>
        <w:rPr>
          <w:rFonts w:ascii="Arial" w:cs="Arial" w:eastAsia="Arial" w:hAnsi="Arial"/>
          <w:b/>
          <w:bCs/>
          <w:color w:val="1F4E78"/>
          <w:sz w:val="36"/>
          <w:szCs w:val="36"/>
        </w:rPr>
        <w:t xml:space="preserve">Single Parent (Head of Household)</w:t>
      </w:r>
    </w:p>
    <w:p>
      <w:pPr>
        <w:spacing w:after="240" w:line="340"/>
        <w:jc w:val="both"/>
      </w:pPr>
      <w:r>
        <w:rPr>
          <w:rFonts w:ascii="Georgia" w:cs="Georgia" w:eastAsia="Georgia" w:hAnsi="Georgia"/>
          <w:color w:val="1A1A1A"/>
          <w:sz w:val="24"/>
          <w:szCs w:val="24"/>
        </w:rPr>
        <w:t xml:space="preserve">Single parents file as Head of Household, with a larger standard deduction ($21,900) than single filers and access to the Child Tax Credit ($2,000 per child). They also typically face higher healthcare premiums than single filers because they cover their children. The wage floor exemption under the platform applies at 1.2x the base floor to reflect the additional household responsibilities.</w:t>
      </w:r>
    </w:p>
    <w:p>
      <w:pPr>
        <w:pStyle w:val="Heading2"/>
        <w:spacing w:after="160" w:before="360"/>
      </w:pPr>
      <w:r>
        <w:rPr>
          <w:rFonts w:ascii="Arial" w:cs="Arial" w:eastAsia="Arial" w:hAnsi="Arial"/>
          <w:b/>
          <w:bCs/>
          <w:color w:val="1F4E78"/>
          <w:sz w:val="28"/>
          <w:szCs w:val="28"/>
        </w:rPr>
        <w:t xml:space="preserve">Detailed Breakdown: $50,000 Single Parent with 2 Kids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500"/>
      </w:tblGrid>
      <w:tr>
        <w:tc>
          <w:tcPr>
            <w:tcW w:type="dxa" w:w="4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Item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Current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Platform</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Gross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$50,000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Deduction / Floor exemption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−$21,900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−$50,400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Taxable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$28,100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Federal income tax (after $4,000 CTC)</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Social Security (6.2%)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$3,100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[replaced]</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Medicare (1.45%)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$725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[absorbed]</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employee share (2%)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employee share (0.5%)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employee share (0.3%)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employer share (4%)</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combined (6%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employer share (0.8%)</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combined (1.3%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employer share (0.5%)</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$250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combined (0.8%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Health insurance premium (worker+kids)</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$4,500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Broadband subscription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Tax preparation (avg, half of households)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Identity theft / fraud expected loss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TOTAL (three values for Platform column reflect employee/employer/combined economic burden per Option E; see v3.7.23)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$9,460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$1,415</w:t>
              <w:br/>
              <w:t>Employer-side (firm pays): $2,650</w:t>
              <w:br/>
              <w:t>Combined: $4,065</w:t>
            </w:r>
          </w:p>
        </w:tc>
      </w:tr>
    </w:tbl>
    <w:p>
      <w:pPr>
        <w:spacing w:after="300"/>
      </w:pPr>
      <w:r>
        <w:t xml:space="preserve"/>
      </w:r>
    </w:p>
    <w:p>
      <w:pPr>
        <w:spacing w:after="200" w:line="320"/>
        <w:jc w:val="both"/>
      </w:pPr>
      <w:r>
        <w:rPr>
          <w:rFonts w:ascii="Georgia" w:cs="Georgia" w:eastAsia="Georgia" w:hAnsi="Georgia"/>
          <w:color w:val="1A1A1A"/>
          <w:sz w:val="22"/>
          <w:szCs w:val="22"/>
        </w:rPr>
        <w:t xml:space="preserve">Annual savings: approximately $5,925. That's a 71% reduction. Single parents see some of the largest savings under the platform because they currently bear disproportionate burden from the combination of FICA taxes (they pay the same percentage as anyone else), health insurance premiums (higher for family coverage), and childcare costs (a separate category not addressed in this comparison but enormous in current life budgets).</w:t>
      </w:r>
    </w:p>
    <w:p>
      <w:pPr>
        <w:pStyle w:val="Heading2"/>
        <w:spacing w:after="160" w:before="360"/>
      </w:pPr>
      <w:r>
        <w:rPr>
          <w:rFonts w:ascii="Arial" w:cs="Arial" w:eastAsia="Arial" w:hAnsi="Arial"/>
          <w:b/>
          <w:bCs/>
          <w:color w:val="1F4E78"/>
          <w:sz w:val="28"/>
          <w:szCs w:val="28"/>
        </w:rPr>
        <w:t xml:space="preserve">Single Parents Across Income Levels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Income</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Current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Platform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Annual Savings</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$7,165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$975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+$6,190</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$7,547</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$1,215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+$6,332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$8,313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$1,695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+$6,618</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$9,460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+$7,045</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$13,413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+$9,798</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$19,826</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$5,284</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+$14,542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$35,203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$23,364</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+$11,839</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$49,081</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$44,101</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+$4,980</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$67,648</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$60,290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+$7,358</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$106,030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$100,290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+$5,740</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$162,055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$160,290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+$1,765</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$257,805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$275,603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−$17,798</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$356,180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$393,103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−$36,923</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$552,930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$653,103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−$100,173</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$749,680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$913,103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−$163,423</w:t>
            </w:r>
          </w:p>
        </w:tc>
      </w:tr>
    </w:tbl>
    <w:p>
      <w:pPr>
        <w:spacing w:after="300"/>
      </w:pPr>
      <w:r>
        <w:t xml:space="preserve"/>
      </w:r>
    </w:p>
    <w:p>
      <w:pPr>
        <w:spacing w:after="200" w:line="320"/>
        <w:jc w:val="both"/>
      </w:pPr>
      <w:r>
        <w:rPr>
          <w:rFonts w:ascii="Georgia" w:cs="Georgia" w:eastAsia="Georgia" w:hAnsi="Georgia"/>
          <w:color w:val="1A1A1A"/>
          <w:sz w:val="22"/>
          <w:szCs w:val="22"/>
        </w:rPr>
        <w:t xml:space="preserve">The savings for single parents are extraordinary across the working-class and middle-class range. At $100,000, a single parent saves over $13,400 per year, more than $1,100 per month. The savings remain positive even at $500,000 (modest, but still favorable to the parent). The platform's universal childcare access (separate from these tax savings) provides additional value not reflected in the table — average childcare costs in the current system run $10,000-$20,000 per year per child, money that the platform's $10/day cap effectively eliminates. High-income single parents (above $750K) see meaningful but moderate increases, reflecting the platform's broader pattern of asking high earners to contribute more.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Single parents are among the platform's largest beneficiaries. Tax savings of 60-77% combined with universal childcare access transform the economics of single-parent households. A single parent earning $50,000 today struggling to cover childcare and healthcare and household expenses becomes, under the platform, a single parent with substantial slack in the household budget for the first time.</w:t>
            </w:r>
          </w:p>
        </w:tc>
      </w:tr>
    </w:tbl>
    <w:p>
      <w:r>
        <w:br w:type="page"/>
      </w:r>
    </w:p>
    <w:p>
      <w:pPr>
        <w:pStyle w:val="Heading1"/>
        <w:spacing w:after="240" w:before="480"/>
      </w:pPr>
      <w:r>
        <w:rPr>
          <w:rFonts w:ascii="Arial" w:cs="Arial" w:eastAsia="Arial" w:hAnsi="Arial"/>
          <w:b/>
          <w:bCs/>
          <w:color w:val="1F4E78"/>
          <w:sz w:val="36"/>
          <w:szCs w:val="36"/>
        </w:rPr>
        <w:t xml:space="preserve">Married Filing Jointly, No Children</w:t>
      </w:r>
    </w:p>
    <w:p>
      <w:pPr>
        <w:spacing w:after="240" w:line="340"/>
        <w:jc w:val="both"/>
      </w:pPr>
      <w:r>
        <w:rPr>
          <w:rFonts w:ascii="Georgia" w:cs="Georgia" w:eastAsia="Georgia" w:hAnsi="Georgia"/>
          <w:color w:val="1A1A1A"/>
          <w:sz w:val="24"/>
          <w:szCs w:val="24"/>
        </w:rPr>
        <w:t xml:space="preserve">Married couples without children file jointly with a larger standard deduction ($29,200) and progressive brackets that effectively double the bracket thresholds compared to single filers. Under the platform, the wage floor exemption is multiplied by 1.5 to reflect joint filing. They face family-coverage health insurance premiums (averaging $6,575 per year for the worker share) under the current system.</w:t>
      </w:r>
    </w:p>
    <w:p>
      <w:pPr>
        <w:pStyle w:val="Heading2"/>
        <w:spacing w:after="160" w:before="360"/>
      </w:pPr>
      <w:r>
        <w:rPr>
          <w:rFonts w:ascii="Arial" w:cs="Arial" w:eastAsia="Arial" w:hAnsi="Arial"/>
          <w:b/>
          <w:bCs/>
          <w:color w:val="1F4E78"/>
          <w:sz w:val="28"/>
          <w:szCs w:val="28"/>
        </w:rPr>
        <w:t xml:space="preserve">Detailed Breakdown: $100,000 MFJ No Kids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500"/>
      </w:tblGrid>
      <w:tr>
        <w:tc>
          <w:tcPr>
            <w:tcW w:type="dxa" w:w="4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Item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Current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Platform</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Gross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$100,000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$100,000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Deduction / Floor exemption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−$29,200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−$75,000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Taxable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$70,800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$25,000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Federal income tax</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$8,032</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$2,536</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Social Security (6.2%)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$6,200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[replaced]</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Medicare (1.45%)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$1,450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[absorbed]</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employee share (2%)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employee share (0.5%)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employee share (0.3%)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employer share (4%)</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combined (6%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employer share (0.8%)</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combined (1.3%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employer share (0.5%)</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combined (0.8%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Health insurance premium (family)</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$6,575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Broadband subscription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Tax preparation (avg, half of households)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Identity theft / fraud expected loss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TOTAL (three values for Platform column reflect employee/employer/combined economic burden per Option E; see v3.7.23)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$23,392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$5,351</w:t>
              <w:br/>
              <w:t>Employer-side (firm pays): $5,300</w:t>
              <w:br/>
              <w:t>Combined: $10,651</w:t>
            </w:r>
          </w:p>
        </w:tc>
      </w:tr>
    </w:tbl>
    <w:p>
      <w:pPr>
        <w:spacing w:after="300"/>
      </w:pPr>
      <w:r>
        <w:t xml:space="preserve"/>
      </w:r>
    </w:p>
    <w:p>
      <w:pPr>
        <w:spacing w:after="200" w:line="320"/>
        <w:jc w:val="both"/>
      </w:pPr>
      <w:r>
        <w:rPr>
          <w:rFonts w:ascii="Georgia" w:cs="Georgia" w:eastAsia="Georgia" w:hAnsi="Georgia"/>
          <w:color w:val="1A1A1A"/>
          <w:sz w:val="22"/>
          <w:szCs w:val="22"/>
        </w:rPr>
        <w:t>Annual savings: approximately $14,921. That's a 67% reduction. MFJ couples without children see particularly large savings because their family-coverage health insurance premiums under the current system are substantial. The platform replaces those premiums with the platform's healthcare contribution (2% employee + 4% employer = 6% combined), which produces a much smaller cost relative to the value received.</w:t>
      </w:r>
    </w:p>
    <w:p>
      <w:pPr>
        <w:pStyle w:val="Heading2"/>
        <w:spacing w:after="160" w:before="360"/>
      </w:pPr>
      <w:r>
        <w:rPr>
          <w:rFonts w:ascii="Arial" w:cs="Arial" w:eastAsia="Arial" w:hAnsi="Arial"/>
          <w:b/>
          <w:bCs/>
          <w:color w:val="1F4E78"/>
          <w:sz w:val="28"/>
          <w:szCs w:val="28"/>
        </w:rPr>
        <w:t xml:space="preserve">MFJ Across Income Levels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Income</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Current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Platform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Annual Savings</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$10,967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$1,695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+$9,272</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$13,615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+$11,200</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$18,479</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+$14,864</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$23,392</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$7,351</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+$16,041</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$35,867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$22,071</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+$13,796</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$48,745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$42,214</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+$6,531</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$60,865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$54,193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+$6,672</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$87,215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$78,193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+$9,022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$133,692</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$123,857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+$9,835</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$226,568</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$224,233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+$2,334</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$324,735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$329,233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−$4,499</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$521,485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$564,233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−$42,749</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$718,235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$799,233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−$80,999</w:t>
            </w:r>
          </w:p>
        </w:tc>
      </w:tr>
    </w:tbl>
    <w:p>
      <w:pPr>
        <w:spacing w:after="300"/>
      </w:pPr>
      <w:r>
        <w:t xml:space="preserve"/>
      </w:r>
    </w:p>
    <w:p>
      <w:pPr>
        <w:spacing w:after="200" w:line="320"/>
        <w:jc w:val="both"/>
      </w:pPr>
      <w:r>
        <w:rPr>
          <w:rFonts w:ascii="Georgia" w:cs="Georgia" w:eastAsia="Georgia" w:hAnsi="Georgia"/>
          <w:color w:val="1A1A1A"/>
          <w:sz w:val="22"/>
          <w:szCs w:val="22"/>
        </w:rPr>
        <w:t xml:space="preserve">Married couples without children see substantial savings across most of the income range. The savings peak at $100,000 ($14,921 annually — the largest dollar savings of any scenario) and remain meaningful through $500,000. At $750,000 the savings are roughly even with current costs. Above $1 million, MFJ couples see modest tax increases ($5,619 at $1M, $82,119 at $2M). The MFJ structure protects upper-middle-income couples better than upper-middle-income single earners because the high-earner surcharge thresholds are doubled for joint filers.</w:t>
      </w:r>
    </w:p>
    <w:p>
      <w:r>
        <w:br w:type="page"/>
      </w:r>
    </w:p>
    <w:p>
      <w:pPr>
        <w:pStyle w:val="Heading1"/>
        <w:spacing w:after="240" w:before="480"/>
      </w:pPr>
      <w:r>
        <w:rPr>
          <w:rFonts w:ascii="Arial" w:cs="Arial" w:eastAsia="Arial" w:hAnsi="Arial"/>
          <w:b/>
          <w:bCs/>
          <w:color w:val="1F4E78"/>
          <w:sz w:val="36"/>
          <w:szCs w:val="36"/>
        </w:rPr>
        <w:t xml:space="preserve">Married Filing Jointly, With Children</w:t>
      </w:r>
    </w:p>
    <w:p>
      <w:pPr>
        <w:spacing w:after="240" w:line="340"/>
        <w:jc w:val="both"/>
      </w:pPr>
      <w:r>
        <w:rPr>
          <w:rFonts w:ascii="Georgia" w:cs="Georgia" w:eastAsia="Georgia" w:hAnsi="Georgia"/>
          <w:color w:val="1A1A1A"/>
          <w:sz w:val="24"/>
          <w:szCs w:val="24"/>
        </w:rPr>
        <w:t xml:space="preserve">This is the largest single category of American households — married couples raising children. They file jointly with the larger standard deduction, claim the Child Tax Credit ($2,000 per qualifying child), and face family-coverage health insurance premiums. They also bear childcare costs that fall outside the standard tax framework but consume substantial household income. Under the platform, the wage floor exemption applies at 1.5x for joint filing.</w:t>
      </w:r>
    </w:p>
    <w:p>
      <w:pPr>
        <w:pStyle w:val="Heading2"/>
        <w:spacing w:after="160" w:before="360"/>
      </w:pPr>
      <w:r>
        <w:rPr>
          <w:rFonts w:ascii="Arial" w:cs="Arial" w:eastAsia="Arial" w:hAnsi="Arial"/>
          <w:b/>
          <w:bCs/>
          <w:color w:val="1F4E78"/>
          <w:sz w:val="28"/>
          <w:szCs w:val="28"/>
        </w:rPr>
        <w:t xml:space="preserve">Detailed Breakdown: $100,000 MFJ with 2 Kids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000"/>
        <w:gridCol w:w="2500"/>
        <w:gridCol w:w="2500"/>
      </w:tblGrid>
      <w:tr>
        <w:tc>
          <w:tcPr>
            <w:tcW w:type="dxa" w:w="40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Item</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Current</w:t>
            </w:r>
          </w:p>
        </w:tc>
        <w:tc>
          <w:tcPr>
            <w:tcW w:type="dxa" w:w="250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Platform</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Gross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$100,000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$100,000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Deduction / Floor exemption</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−$29,200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−$75,000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Taxable income</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$70,800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$25,000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Federal income tax (after $4,000 CTC)</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$4,032</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 (CTC zeroed)</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Social Security (6.2%)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$6,200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[replaced]</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Medicare (1.45%)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$1,450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[absorbed]</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employee share (2%)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$2,000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employee share (0.5%)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employee share (0.3%)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employer share (4%)</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Healthcare — combined (6%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$6,000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employer share (0.8%)</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Childcare — combined (1.3%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employer share (0.5%)</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Universal Mental Health — combined (0.8% full economic burden)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$800</w:t>
            </w:r>
          </w:p>
        </w:tc>
      </w:tr>
      <w:tr>
        <w:tc>
          <w:tcPr>
            <w:tcW w:type="dxa" w:w="40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Health insurance premium (family)</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$6,575</w:t>
            </w:r>
          </w:p>
        </w:tc>
        <w:tc>
          <w:tcPr>
            <w:tcW w:type="dxa" w:w="250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 xml:space="preserve">$0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Broadband subscription</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Tax preparation (avg, half of households)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$0</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Identity theft / fraud expected loss</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$100</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w:t>
            </w:r>
          </w:p>
        </w:tc>
      </w:tr>
      <w:tr>
        <w:tc>
          <w:tcPr>
            <w:tcW w:type="dxa" w:w="40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bCs/>
                <w:color w:val="1A1A1A"/>
                <w:sz w:val="20"/>
                <w:szCs w:val="20"/>
              </w:rPr>
              <w:t>TOTAL (three values for Platform column reflect employee/employer/combined economic burden per Option E; see v3.7.23)</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$19,392</w:t>
            </w:r>
          </w:p>
        </w:tc>
        <w:tc>
          <w:tcPr>
            <w:tcW w:type="dxa" w:w="250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bCs/>
                <w:color w:val="1A1A1A"/>
                <w:sz w:val="20"/>
                <w:szCs w:val="20"/>
              </w:rPr>
              <w:t>Employee-side: $2,815</w:t>
              <w:br/>
              <w:t>Employer-side (firm pays): $5,300</w:t>
              <w:br/>
              <w:t>Combined: $8,115</w:t>
            </w:r>
          </w:p>
        </w:tc>
      </w:tr>
    </w:tbl>
    <w:p>
      <w:pPr>
        <w:spacing w:after="300"/>
      </w:pPr>
      <w:r>
        <w:t xml:space="preserve"/>
      </w:r>
    </w:p>
    <w:p>
      <w:pPr>
        <w:spacing w:after="200" w:line="320"/>
        <w:jc w:val="both"/>
      </w:pPr>
      <w:r>
        <w:rPr>
          <w:rFonts w:ascii="Georgia" w:cs="Georgia" w:eastAsia="Georgia" w:hAnsi="Georgia"/>
          <w:color w:val="1A1A1A"/>
          <w:sz w:val="22"/>
          <w:szCs w:val="22"/>
        </w:rPr>
        <w:t xml:space="preserve">Annual savings: approximately $13,457. That's a 74% reduction. The Child Tax Credit substantially reduces federal income tax under both systems, but the larger wage floor exemption (with the 1.5x MFJ uplift) combined with elimination of FICA and family health premiums produces dramatic total savings.</w:t>
      </w:r>
    </w:p>
    <w:p>
      <w:pPr>
        <w:spacing w:after="200" w:line="320"/>
        <w:jc w:val="both"/>
      </w:pPr>
      <w:r>
        <w:rPr>
          <w:rFonts w:ascii="Georgia" w:cs="Georgia" w:eastAsia="Georgia" w:hAnsi="Georgia"/>
          <w:color w:val="1A1A1A"/>
          <w:sz w:val="22"/>
          <w:szCs w:val="22"/>
        </w:rPr>
        <w:t xml:space="preserve">The platform's universal childcare access is separate from this comparison but transforms household economics for families with young children. A family with two children in childcare currently spends $20,000-$40,000 per year. Under the platform, this becomes effectively zero (the $10/day cap totals approximately $2,500 per year per child). The total household savings combining tax reductions and childcare cost elimination can easily exceed $30,000 per year for families with young children.</w:t>
      </w:r>
    </w:p>
    <w:p>
      <w:pPr>
        <w:pStyle w:val="Heading2"/>
        <w:spacing w:after="160" w:before="360"/>
      </w:pPr>
      <w:r>
        <w:rPr>
          <w:rFonts w:ascii="Arial" w:cs="Arial" w:eastAsia="Arial" w:hAnsi="Arial"/>
          <w:b/>
          <w:bCs/>
          <w:color w:val="1F4E78"/>
          <w:sz w:val="28"/>
          <w:szCs w:val="28"/>
        </w:rPr>
        <w:t xml:space="preserve">MFJ with 2 Kids Across Income Levels</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Income</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Current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Platform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Annual Savings</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$10,387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$1,695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+$8,692</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$11,535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+$9,120</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$14,479</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+$10,864</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$19,392</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$4,815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+$14,577</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$31,867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$18,071</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+$13,796</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$44,745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$38,214</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+$6,531</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$56,865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$50,193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+$6,672</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$83,215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$74,193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+$9,022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$133,692</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$119,857</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+$13,835</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$226,568</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$220,233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+$6,334</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$324,735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$325,233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−$499</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$521,485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$560,233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−$38,749</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$718,235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$795,233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−$76,999</w:t>
            </w:r>
          </w:p>
        </w:tc>
      </w:tr>
    </w:tbl>
    <w:p>
      <w:pPr>
        <w:spacing w:after="300"/>
      </w:pPr>
      <w:r>
        <w:t xml:space="preserve"/>
      </w:r>
    </w:p>
    <w:p>
      <w:pPr>
        <w:pStyle w:val="Heading2"/>
        <w:spacing w:after="160" w:before="360"/>
      </w:pPr>
      <w:r>
        <w:rPr>
          <w:rFonts w:ascii="Arial" w:cs="Arial" w:eastAsia="Arial" w:hAnsi="Arial"/>
          <w:b/>
          <w:bCs/>
          <w:color w:val="1F4E78"/>
          <w:sz w:val="28"/>
          <w:szCs w:val="28"/>
        </w:rPr>
        <w:t xml:space="preserve">MFJ with 4 Kids</w:t>
      </w:r>
    </w:p>
    <w:p>
      <w:pPr>
        <w:spacing w:after="200" w:line="320"/>
        <w:jc w:val="both"/>
      </w:pPr>
      <w:r>
        <w:rPr>
          <w:rFonts w:ascii="Georgia" w:cs="Georgia" w:eastAsia="Georgia" w:hAnsi="Georgia"/>
          <w:color w:val="1A1A1A"/>
          <w:sz w:val="22"/>
          <w:szCs w:val="22"/>
        </w:rPr>
        <w:t xml:space="preserve">Larger families benefit further from the Child Tax Credit (which scales with the number of children) plus the relative weight of family healthcare premium savings. The platform's childcare access scales with children too — universal access means each child is covered.</w:t>
      </w:r>
    </w:p>
    <w:p>
      <w:pPr>
        <w:spacing w:after="2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left"/>
            </w:pPr>
            <w:r>
              <w:rPr>
                <w:rFonts w:ascii="Georgia" w:cs="Georgia" w:eastAsia="Georgia" w:hAnsi="Georgia"/>
                <w:b/>
                <w:bCs/>
                <w:color w:val="FFFFFF"/>
                <w:sz w:val="19"/>
                <w:szCs w:val="19"/>
              </w:rPr>
              <w:t xml:space="preserve">Income</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Current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Platform Total Cost</w:t>
            </w:r>
          </w:p>
        </w:tc>
        <w:tc>
          <w:tcPr>
            <w:tcW w:type="dxa" w:w="2250"/>
            <w:tcBorders>
              <w:top w:val="single" w:color="BFBFBF" w:sz="4"/>
              <w:left w:val="single" w:color="BFBFBF" w:sz="4"/>
              <w:bottom w:val="single" w:color="BFBFBF" w:sz="4"/>
              <w:right w:val="single" w:color="BFBFBF" w:sz="4"/>
            </w:tcBorders>
            <w:shd w:fill="1F4E78" w:val="clear"/>
            <w:tcMar>
              <w:top w:type="dxa" w:w="100"/>
              <w:left w:type="dxa" w:w="150"/>
              <w:bottom w:type="dxa" w:w="100"/>
              <w:right w:type="dxa" w:w="150"/>
            </w:tcMar>
          </w:tcPr>
          <w:p>
            <w:pPr>
              <w:jc w:val="right"/>
            </w:pPr>
            <w:r>
              <w:rPr>
                <w:rFonts w:ascii="Georgia" w:cs="Georgia" w:eastAsia="Georgia" w:hAnsi="Georgia"/>
                <w:b/>
                <w:bCs/>
                <w:color w:val="FFFFFF"/>
                <w:sz w:val="19"/>
                <w:szCs w:val="19"/>
              </w:rPr>
              <w:t xml:space="preserve">Annual Savings</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$11,535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$2,415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+$9,120</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$13,447</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$3,615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+$9,832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$15,392</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$4,815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+$10,577</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$27,867</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$14,071</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+$13,796</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$40,745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$34,214</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+$6,531</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$250,000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$52,865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$46,193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+$6,672</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$350,000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$79,215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$70,193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+$9,022</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$500,000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$130,692</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$115,857</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+$14,835</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$750,000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$226,568</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$216,233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+$10,334</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$1,000,000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$324,735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$321,233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+$3,501</w:t>
            </w:r>
          </w:p>
        </w:tc>
      </w:tr>
      <w:tr>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$1,500,000</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$521,485</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$556,233</w:t>
            </w:r>
          </w:p>
        </w:tc>
        <w:tc>
          <w:tcPr>
            <w:tcW w:type="dxa" w:w="2250"/>
            <w:tcBorders>
              <w:top w:val="single" w:color="BFBFBF" w:sz="4"/>
              <w:left w:val="single" w:color="BFBFBF" w:sz="4"/>
              <w:bottom w:val="single" w:color="BFBFBF" w:sz="4"/>
              <w:right w:val="single" w:color="BFBFBF" w:sz="4"/>
            </w:tcBorders>
            <w:shd w:fill="FFFFFF"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−$34,749</w:t>
            </w:r>
          </w:p>
        </w:tc>
      </w:tr>
      <w:tr>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left"/>
            </w:pPr>
            <w:r>
              <w:rPr>
                <w:rFonts w:ascii="Georgia" w:cs="Georgia" w:eastAsia="Georgia" w:hAnsi="Georgia"/>
                <w:b w:val="false"/>
                <w:bCs w:val="false"/>
                <w:color w:val="1A1A1A"/>
                <w:sz w:val="20"/>
                <w:szCs w:val="20"/>
              </w:rPr>
              <w:t xml:space="preserve">$2,000,000</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$718,235</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$791,233</w:t>
            </w:r>
          </w:p>
        </w:tc>
        <w:tc>
          <w:tcPr>
            <w:tcW w:type="dxa" w:w="2250"/>
            <w:tcBorders>
              <w:top w:val="single" w:color="BFBFBF" w:sz="4"/>
              <w:left w:val="single" w:color="BFBFBF" w:sz="4"/>
              <w:bottom w:val="single" w:color="BFBFBF" w:sz="4"/>
              <w:right w:val="single" w:color="BFBFBF" w:sz="4"/>
            </w:tcBorders>
            <w:shd w:fill="F8F9FB" w:val="clear"/>
            <w:tcMar>
              <w:top w:type="dxa" w:w="100"/>
              <w:left w:type="dxa" w:w="150"/>
              <w:bottom w:type="dxa" w:w="100"/>
              <w:right w:type="dxa" w:w="150"/>
            </w:tcMar>
          </w:tcPr>
          <w:p>
            <w:pPr>
              <w:jc w:val="right"/>
            </w:pPr>
            <w:r>
              <w:rPr>
                <w:rFonts w:ascii="Georgia" w:cs="Georgia" w:eastAsia="Georgia" w:hAnsi="Georgia"/>
                <w:b w:val="false"/>
                <w:bCs w:val="false"/>
                <w:color w:val="1A1A1A"/>
                <w:sz w:val="20"/>
                <w:szCs w:val="20"/>
              </w:rPr>
              <w:t>−$72,999</w:t>
            </w:r>
          </w:p>
        </w:tc>
      </w:tr>
    </w:tbl>
    <w:p>
      <w:pPr>
        <w:spacing w:after="3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A married couple with 4 children earning $100,000 — a typical large American family — saves about $9,457 per year on federal taxes plus avoids family-coverage health premiums. Combined with universal childcare access for younger children, the total annual benefit can exceed $25,000-$40,000 depending on childcare needs. This is the kind of transformative impact that makes the platform's proposal worth serious consideration for working families.</w:t>
            </w:r>
          </w:p>
        </w:tc>
      </w:tr>
    </w:tbl>
    <w:p>
      <w:r>
        <w:br w:type="page"/>
      </w:r>
    </w:p>
    <w:p>
      <w:pPr>
        <w:pStyle w:val="Heading1"/>
        <w:spacing w:after="240" w:before="480"/>
      </w:pPr>
      <w:r>
        <w:rPr>
          <w:rFonts w:ascii="Arial" w:cs="Arial" w:eastAsia="Arial" w:hAnsi="Arial"/>
          <w:b/>
          <w:bCs/>
          <w:color w:val="1F4E78"/>
          <w:sz w:val="36"/>
          <w:szCs w:val="36"/>
        </w:rPr>
        <w:t xml:space="preserve">High Earners and the Surcharge Architecture</w:t>
      </w:r>
    </w:p>
    <w:p>
      <w:pPr>
        <w:spacing w:after="240" w:line="340"/>
        <w:jc w:val="both"/>
      </w:pPr>
      <w:r>
        <w:rPr>
          <w:rFonts w:ascii="Georgia" w:cs="Georgia" w:eastAsia="Georgia" w:hAnsi="Georgia"/>
          <w:color w:val="1A1A1A"/>
          <w:sz w:val="24"/>
          <w:szCs w:val="24"/>
        </w:rPr>
        <w:t xml:space="preserve">The platform's tax architecture asks high earners to contribute more to make the working-class and middle-class savings possible. The high-earner surcharges are real but not transformative — they bring American taxation closer to peer-nation rates without producing the kind of confiscatory levels that often appear in policy debate. This section examines the high-earner experience honestly.</w:t>
      </w:r>
    </w:p>
    <w:p>
      <w:pPr>
        <w:pStyle w:val="Heading2"/>
        <w:spacing w:after="160" w:before="360"/>
      </w:pPr>
      <w:r>
        <w:rPr>
          <w:rFonts w:ascii="Arial" w:cs="Arial" w:eastAsia="Arial" w:hAnsi="Arial"/>
          <w:b/>
          <w:bCs/>
          <w:color w:val="1F4E78"/>
          <w:sz w:val="28"/>
          <w:szCs w:val="28"/>
        </w:rPr>
        <w:t xml:space="preserve">Single Earner at $500K</w:t>
      </w:r>
    </w:p>
    <w:p>
      <w:pPr>
        <w:spacing w:after="200" w:line="320"/>
        <w:jc w:val="both"/>
      </w:pPr>
      <w:r>
        <w:rPr>
          <w:rFonts w:ascii="Georgia" w:cs="Georgia" w:eastAsia="Georgia" w:hAnsi="Georgia"/>
          <w:color w:val="1A1A1A"/>
          <w:sz w:val="22"/>
          <w:szCs w:val="22"/>
        </w:rPr>
        <w:t>A single earner at $500,000 with no children faces the canonical OPEN-2 graduated high-earner surcharge of 5% on income above $250,000, which produces $12,500 per year ($250,000 × 5%). The wage floor exemption no longer applies at this income (the exemption phases out above 2.5x the occupation's floor; at $500,000 the exemption is $0 for any occupation). Under the platform's canonical OPEN-1 healthcare contribution structure (4% employer + 2% employee = 6% combined), the worker's paystub-visible 2% employee share is $10,000 per year, the firm's 4% employer share paid on the worker's behalf is $20,000 per year, and the combined 6% economic burden (per standard tax-incidence theory) is $30,000 per year. Net impact depends on healthcare and payroll-state assumptions: under mature steady-state (FICA absorbed into universal healthcare, current ~$8,000 single-individual premium replaced by universal coverage), worker-visible out-of-pocket totals are within roughly $1,000-$2,000 of current system either direction; the surcharge ($12,500) plus healthcare 2% employee share ($10,000) is comparable to the current FICA ($20,400) plus health premium ($8,000) burden. Under standard tax-incidence theory, the employer's 4% healthcare contribution ($20,000) is also economically borne by the worker; adding it produces a total economic burden approximately $20,000 higher than the current system. The household's framing matters for interpretation. The Calculator produces personalized side-by-side comparison for specific household situations.</w:t>
      </w:r>
    </w:p>
    <w:p>
      <w:pPr>
        <w:spacing w:after="200" w:line="320"/>
        <w:jc w:val="both"/>
      </w:pPr>
      <w:r>
        <w:rPr>
          <w:rFonts w:ascii="Georgia" w:cs="Georgia" w:eastAsia="Georgia" w:hAnsi="Georgia"/>
          <w:color w:val="1A1A1A"/>
          <w:sz w:val="22"/>
          <w:szCs w:val="22"/>
        </w:rPr>
        <w:t xml:space="preserve">The trade-off they receive: universal healthcare coverage (eliminating the need for private insurance, which often costs $15,000-$25,000 per year for individual policies of comparable quality), Sovereign Fund retirement balance accumulation (more reliable than Social Security as currently funded), and access to all the platform's compound benefits including identity theft reduction, retroactive debt retirement if applicable, and the broader stability of universal infrastructure.</w:t>
      </w:r>
    </w:p>
    <w:p>
      <w:pPr>
        <w:pStyle w:val="Heading2"/>
        <w:spacing w:after="160" w:before="360"/>
      </w:pPr>
      <w:r>
        <w:rPr>
          <w:rFonts w:ascii="Arial" w:cs="Arial" w:eastAsia="Arial" w:hAnsi="Arial"/>
          <w:b/>
          <w:bCs/>
          <w:color w:val="1F4E78"/>
          <w:sz w:val="28"/>
          <w:szCs w:val="28"/>
        </w:rPr>
        <w:t xml:space="preserve">MFJ at $500K with 2 Kids</w:t>
      </w:r>
    </w:p>
    <w:p>
      <w:pPr>
        <w:spacing w:after="200" w:line="320"/>
        <w:jc w:val="both"/>
      </w:pPr>
      <w:r>
        <w:rPr>
          <w:rFonts w:ascii="Georgia" w:cs="Georgia" w:eastAsia="Georgia" w:hAnsi="Georgia"/>
          <w:color w:val="1A1A1A"/>
          <w:sz w:val="22"/>
          <w:szCs w:val="22"/>
        </w:rPr>
        <w:t>A married couple earning $500,000 with two children faces the canonical OPEN-2 graduated high-earner surcharge with thresholds doubled for joint filers: surcharge starts at $500,000 (versus $250,000 for single filers), so at exactly $500,000 MFJ the surcharge is $0. The MFJ wage floor exemption (1.5x the base floor) applies partially at this income depending on the occupation's floor. The Child Tax Credit continues unchanged ($2,000 per child under 17, refundable up to $1,600). Under the canonical OPEN-1 healthcare contribution (4% employer + 2% employee = 6% total), the household's visible 2% employee share is $10,000 per year. Net impact under mature steady-state: substantial savings driven by universal childcare (replacing what was likely $20,000-$30,000 per year in childcare costs for two children) and universal healthcare (replacing what was likely $20,000-$25,000 per year in family premium costs). For a representative household with both kids in full-time childcare, total savings are on the order of $30,000-$50,000 per year. For a household with kids past childcare age, savings are smaller but still meaningful (approximately $10,000-$20,000 per year). Specific dollar amounts depend on occupation, current healthcare structure, and childcare arrangements; the Calculator produces personalized estimates.</w:t>
      </w:r>
    </w:p>
    <w:p>
      <w:pPr>
        <w:pStyle w:val="Heading2"/>
        <w:spacing w:after="160" w:before="360"/>
      </w:pPr>
      <w:r>
        <w:rPr>
          <w:rFonts w:ascii="Arial" w:cs="Arial" w:eastAsia="Arial" w:hAnsi="Arial"/>
          <w:b/>
          <w:bCs/>
          <w:color w:val="1F4E78"/>
          <w:sz w:val="28"/>
          <w:szCs w:val="28"/>
        </w:rPr>
        <w:t xml:space="preserve">Single Earner at $1M and Above</w:t>
      </w:r>
    </w:p>
    <w:p>
      <w:pPr>
        <w:spacing w:after="200" w:line="320"/>
        <w:jc w:val="both"/>
      </w:pPr>
      <w:r>
        <w:rPr>
          <w:rFonts w:ascii="Georgia" w:cs="Georgia" w:eastAsia="Georgia" w:hAnsi="Georgia"/>
          <w:color w:val="1A1A1A"/>
          <w:sz w:val="22"/>
          <w:szCs w:val="22"/>
        </w:rPr>
        <w:t>Above $1,000,000 in single-earner income, the canonical OPEN-2 graduated structure produces substantial surcharges: at $1,000,000 the cumulative surcharge is $62,500 (5% on $250,000-$500,000 = $12,500 plus 10% on $500,000-$1,000,000 = $50,000). At $2,000,000 the surcharge is $212,500 ($12,500 + $50,000 + 15% on the $1,000,000 above the $1M threshold = $150,000). At $5,000,000 the surcharge is $662,500. These numbers are intentionally substantial: the platform's principle is that the country's wealth accumulation should be available for the country's collective investment, not concentrated indefinitely. The wage floor exemption is $0 at all these income levels (fully phased out above 2.5x any occupation's floor). The healthcare contribution (4% employer + 2% employee = 6% total per canonical OPEN-1) generates significant additional revenue at high incomes (a $1M earner contributes $60,000 per year in total healthcare contributions, of which $20,000 is the worker's visible 2% share). If the household has net worth above $10 million, the small wealth surcharge of 0.5% (per OPEN-2 mechanism 2) applies to net worth above the threshold; if net worth is above $50 million, the wealth tax of 0.6% (per OPEN-2 mechanism 3) applies to net worth above $50 million and funds Sovereign Investment Fund corpus accumulation.  (Source baseline: see Sources_And_Derivation_Convention.docx.)</w:t>
      </w:r>
    </w:p>
    <w:p>
      <w:pPr>
        <w:pStyle w:val="Heading2"/>
        <w:spacing w:after="160" w:before="360"/>
      </w:pPr>
      <w:r>
        <w:rPr>
          <w:rFonts w:ascii="Arial" w:cs="Arial" w:eastAsia="Arial" w:hAnsi="Arial"/>
          <w:b/>
          <w:bCs/>
          <w:color w:val="1F4E78"/>
          <w:sz w:val="28"/>
          <w:szCs w:val="28"/>
        </w:rPr>
        <w:t xml:space="preserve">MFJ Couples at Higher Incomes</w:t>
      </w:r>
    </w:p>
    <w:p>
      <w:pPr>
        <w:spacing w:after="200" w:line="320"/>
        <w:jc w:val="both"/>
      </w:pPr>
      <w:r>
        <w:rPr>
          <w:rFonts w:ascii="Georgia" w:cs="Georgia" w:eastAsia="Georgia" w:hAnsi="Georgia"/>
          <w:color w:val="1A1A1A"/>
          <w:sz w:val="22"/>
          <w:szCs w:val="22"/>
        </w:rPr>
        <w:t>MFJ couples see different effects than single earners at the same income levels because the canonical OPEN-2 surcharge thresholds are doubled for joint filers: 5% above $500,000, 10% above $1,000,000, 15% above $2,000,000 (versus single-filer thresholds of $250,000, $500,000, $1,000,000). At MFJ income of $1,000,000 the cumulative surcharge is $25,000 (5% on $500,000-$1,000,000 only, since 10% bracket starts at $1M). At MFJ income of $2,000,000 the cumulative surcharge is $125,000 (5% on $500,000-$1,000,000 = $25,000 plus 10% on $1,000,000-$2,000,000 = $100,000). At MFJ income of $5,000,000 the cumulative surcharge is $575,000. The doubled-threshold structure protects upper-middle-class families more than upper-middle-class single earners; an MFJ household at $400,000 pays no high-earner surcharge while a single earner at $400,000 pays $7,500 (5% × $150,000). This asymmetry reflects the platform's commitment to preserve the marriage neutrality principle in the existing tax code while recognizing that two-earner households with comparable per-person incomes face different financial situations than single earners at the same total.</w:t>
      </w:r>
    </w:p>
    <w:p>
      <w:pPr>
        <w:pStyle w:val="Heading2"/>
        <w:spacing w:after="160" w:before="360"/>
      </w:pPr>
      <w:r>
        <w:rPr>
          <w:rFonts w:ascii="Arial" w:cs="Arial" w:eastAsia="Arial" w:hAnsi="Arial"/>
          <w:b/>
          <w:bCs/>
          <w:color w:val="1F4E78"/>
          <w:sz w:val="28"/>
          <w:szCs w:val="28"/>
        </w:rPr>
        <w:t xml:space="preserve">Why the High-Earner Architecture Is Reasonable</w:t>
      </w:r>
    </w:p>
    <w:p>
      <w:pPr>
        <w:spacing w:after="200" w:line="320"/>
        <w:jc w:val="both"/>
      </w:pPr>
      <w:r>
        <w:rPr>
          <w:rFonts w:ascii="Georgia" w:cs="Georgia" w:eastAsia="Georgia" w:hAnsi="Georgia"/>
          <w:color w:val="1A1A1A"/>
          <w:sz w:val="22"/>
          <w:szCs w:val="22"/>
        </w:rPr>
        <w:t>Some readers will examine these numbers and ask whether the increases on high earners are too modest given the dramatic savings for working-class and middle-class workers. Others will ask whether they're too aggressive. The platform's design takes a moderate position: high earners pay somewhat more, but not transformatively more. This reflects two judgments. First, the platform's architecture (universal healthcare, retirement security, cognitive bandwidth restoration) benefits high earners as well as low earners, even if the dollar magnitude differs. Second, transformative tax increases on high earners produce capital flight, behavioral responses, and political opposition that would compromise the platform's viability. Item 81 (Federal Income Tax Revenue Under the Platform's Modified Architecture, added in v2.29 and enhanced in v2.30) provides the order-of-magnitude revenue substantiation for the high-earner architecture: approximately $130 billion per year from the graduated income surcharge The wage floor exemption component of this figure has been restated: the exemption is capped at $25,000, costs approximately $67 billion a year, and is funded from the wealth tax rather than from withdrawing the exemption above the threshold. See 05_Federal_Income_Tax_Revenue_Modified_Architecture. at median behavioral elasticity (ETI 0.4), plus approximately $35 billion from the small wealth surcharge above $10 million net worth, plus approximately $60 billion from the wealth tax above $50 million net worth, totaling approximately $225 billion per year combined at mature steady-state.</w:t>
      </w:r>
    </w:p>
    <w:p>
      <w:pPr>
        <w:spacing w:after="200" w:line="320"/>
        <w:jc w:val="both"/>
      </w:pPr>
      <w:r>
        <w:rPr>
          <w:rFonts w:ascii="Georgia" w:cs="Georgia" w:eastAsia="Georgia" w:hAnsi="Georgia"/>
          <w:color w:val="1A1A1A"/>
          <w:sz w:val="22"/>
          <w:szCs w:val="22"/>
        </w:rPr>
        <w:t xml:space="preserve">The honest acknowledgment: the platform doesn't produce dramatic redistribution from high earners to low earners through taxation. It produces dramatic restructuring of how middle-class and working-class workers receive value (replacing fragmented expensive arrangements with universal infrastructure), funded primarily by administrative simplification (the healthcare savings from eliminating multi-payer overhead account for most of the gap), and modestly by additional contribution from high earners.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tax architecture is moderate by the standards of peer-nation comparison. American high earners pay less tax under the platform than their counterparts in most European countries do today. The savings for working-class and middle-class Americans come primarily from administrative simplification, not from confiscatory taxation of the wealthy.”</w:t>
            </w:r>
          </w:p>
        </w:tc>
      </w:tr>
    </w:tbl>
    <w:p>
      <w:r>
        <w:br w:type="page"/>
      </w:r>
    </w:p>
    <w:p>
      <w:pPr>
        <w:pStyle w:val="Heading1"/>
        <w:spacing w:after="240" w:before="480"/>
      </w:pPr>
      <w:r>
        <w:rPr>
          <w:rFonts w:ascii="Arial" w:cs="Arial" w:eastAsia="Arial" w:hAnsi="Arial"/>
          <w:b/>
          <w:bCs/>
          <w:color w:val="1F4E78"/>
          <w:sz w:val="36"/>
          <w:szCs w:val="36"/>
        </w:rPr>
        <w:t xml:space="preserve">What Each Dollar Buys</w:t>
      </w:r>
    </w:p>
    <w:p>
      <w:pPr>
        <w:spacing w:after="240" w:line="340"/>
        <w:jc w:val="both"/>
      </w:pPr>
      <w:r>
        <w:rPr>
          <w:rFonts w:ascii="Georgia" w:cs="Georgia" w:eastAsia="Georgia" w:hAnsi="Georgia"/>
          <w:color w:val="1A1A1A"/>
          <w:sz w:val="24"/>
          <w:szCs w:val="24"/>
        </w:rPr>
        <w:t xml:space="preserve">The dollar comparisons in the previous sections capture only part of the story. The more important comparison is what each dollar of federal cost actually buys for the worker paying it. Under the current system, the federal taxes pay for various government services that the worker may or may not personally receive. Under the platform, the federal contributions buy a specific bundle of universal services that every worker receives directly.</w:t>
      </w:r>
    </w:p>
    <w:p>
      <w:pPr>
        <w:pStyle w:val="Heading2"/>
        <w:spacing w:after="160" w:before="360"/>
      </w:pPr>
      <w:r>
        <w:rPr>
          <w:rFonts w:ascii="Arial" w:cs="Arial" w:eastAsia="Arial" w:hAnsi="Arial"/>
          <w:b/>
          <w:bCs/>
          <w:color w:val="1F4E78"/>
          <w:sz w:val="28"/>
          <w:szCs w:val="28"/>
        </w:rPr>
        <w:t xml:space="preserve">What the Current System's Federal Cost Buys</w:t>
      </w:r>
    </w:p>
    <w:p>
      <w:pPr>
        <w:spacing w:after="200" w:line="320"/>
        <w:jc w:val="both"/>
      </w:pPr>
      <w:r>
        <w:rPr>
          <w:rFonts w:ascii="Georgia" w:cs="Georgia" w:eastAsia="Georgia" w:hAnsi="Georgia"/>
          <w:color w:val="1A1A1A"/>
          <w:sz w:val="22"/>
          <w:szCs w:val="22"/>
        </w:rPr>
        <w:t xml:space="preserve">Under the current system, a typical worker's federal cost (income tax + FICA + health premium) buys:</w:t>
      </w:r>
    </w:p>
    <w:p>
      <w:pPr>
        <w:spacing w:after="200" w:line="320"/>
        <w:jc w:val="both"/>
      </w:pPr>
      <w:r>
        <w:rPr>
          <w:rFonts w:ascii="Georgia" w:cs="Georgia" w:eastAsia="Georgia" w:hAnsi="Georgia"/>
          <w:b/>
          <w:bCs/>
          <w:sz w:val="22"/>
          <w:szCs w:val="22"/>
        </w:rPr>
        <w:t xml:space="preserve">Future Social Security benefits: </w:t>
      </w:r>
      <w:r>
        <w:rPr>
          <w:rFonts w:ascii="Georgia" w:cs="Georgia" w:eastAsia="Georgia" w:hAnsi="Georgia"/>
          <w:color w:val="1A1A1A"/>
          <w:sz w:val="22"/>
          <w:szCs w:val="22"/>
        </w:rPr>
        <w:t xml:space="preserve">Calculated based on the worker's lifetime earnings, with current trust fund projections suggesting benefits may be reduced 20-25% in the 2030s without legislative changes. Average benefit at full retirement age: approximately $22,000 per year (as of 2024). [RESTATED v3.8.369] year label added; this is an external SSA figure rather than a platform-derived one, and no sourced replacement was read here.</w:t>
      </w:r>
    </w:p>
    <w:p>
      <w:pPr>
        <w:spacing w:after="200" w:line="320"/>
        <w:jc w:val="both"/>
      </w:pPr>
      <w:r>
        <w:rPr>
          <w:rFonts w:ascii="Georgia" w:cs="Georgia" w:eastAsia="Georgia" w:hAnsi="Georgia"/>
          <w:b/>
          <w:bCs/>
          <w:sz w:val="22"/>
          <w:szCs w:val="22"/>
        </w:rPr>
        <w:t xml:space="preserve">Future Medicare benefits: </w:t>
      </w:r>
      <w:r>
        <w:rPr>
          <w:rFonts w:ascii="Georgia" w:cs="Georgia" w:eastAsia="Georgia" w:hAnsi="Georgia"/>
          <w:color w:val="1A1A1A"/>
          <w:sz w:val="22"/>
          <w:szCs w:val="22"/>
        </w:rPr>
        <w:t xml:space="preserve">Available at age 65 and after; covers most healthcare costs but with substantial deductibles, coinsurance, and exclusions. Most beneficiaries supplement with Medigap policies that cost additional $1,500-$3,000 per year.</w:t>
      </w:r>
    </w:p>
    <w:p>
      <w:pPr>
        <w:spacing w:after="200" w:line="320"/>
        <w:jc w:val="both"/>
      </w:pPr>
      <w:r>
        <w:rPr>
          <w:rFonts w:ascii="Georgia" w:cs="Georgia" w:eastAsia="Georgia" w:hAnsi="Georgia"/>
          <w:b/>
          <w:bCs/>
          <w:sz w:val="22"/>
          <w:szCs w:val="22"/>
        </w:rPr>
        <w:t xml:space="preserve">Current health insurance: </w:t>
      </w:r>
      <w:r>
        <w:rPr>
          <w:rFonts w:ascii="Georgia" w:cs="Georgia" w:eastAsia="Georgia" w:hAnsi="Georgia"/>
          <w:color w:val="1A1A1A"/>
          <w:sz w:val="22"/>
          <w:szCs w:val="22"/>
        </w:rPr>
        <w:t xml:space="preserve">Provides healthcare coverage during employment with the specific employer; lost when changing jobs unless the worker pays COBRA premiums (typically 100-102% of full premium cost); doesn't cover family unless premium tier upgraded.</w:t>
      </w:r>
    </w:p>
    <w:p>
      <w:pPr>
        <w:spacing w:after="200" w:line="320"/>
        <w:jc w:val="both"/>
      </w:pPr>
      <w:r>
        <w:rPr>
          <w:rFonts w:ascii="Georgia" w:cs="Georgia" w:eastAsia="Georgia" w:hAnsi="Georgia"/>
          <w:b/>
          <w:bCs/>
          <w:sz w:val="22"/>
          <w:szCs w:val="22"/>
        </w:rPr>
        <w:t xml:space="preserve">General federal services: </w:t>
      </w:r>
      <w:r>
        <w:rPr>
          <w:rFonts w:ascii="Georgia" w:cs="Georgia" w:eastAsia="Georgia" w:hAnsi="Georgia"/>
          <w:color w:val="1A1A1A"/>
          <w:sz w:val="22"/>
          <w:szCs w:val="22"/>
        </w:rPr>
        <w:t xml:space="preserve">Defense, infrastructure, regulation, scientific research, and other broad government functions whose benefits are widely shared but rarely tied to specific tax payments.</w:t>
      </w:r>
    </w:p>
    <w:p>
      <w:pPr>
        <w:pStyle w:val="Heading2"/>
        <w:spacing w:after="160" w:before="360"/>
      </w:pPr>
      <w:r>
        <w:rPr>
          <w:rFonts w:ascii="Arial" w:cs="Arial" w:eastAsia="Arial" w:hAnsi="Arial"/>
          <w:b/>
          <w:bCs/>
          <w:color w:val="1F4E78"/>
          <w:sz w:val="28"/>
          <w:szCs w:val="28"/>
        </w:rPr>
        <w:t xml:space="preserve">What the Platform's Federal Cost Buys</w:t>
      </w:r>
    </w:p>
    <w:p>
      <w:pPr>
        <w:spacing w:after="200" w:line="320"/>
        <w:jc w:val="both"/>
      </w:pPr>
      <w:r>
        <w:rPr>
          <w:rFonts w:ascii="Georgia" w:cs="Georgia" w:eastAsia="Georgia" w:hAnsi="Georgia"/>
          <w:color w:val="1A1A1A"/>
          <w:sz w:val="22"/>
          <w:szCs w:val="22"/>
        </w:rPr>
        <w:t xml:space="preserve">Under the platform, the same worker's federal cost buys all of the above (general federal services continue) plus:</w:t>
      </w:r>
    </w:p>
    <w:p>
      <w:pPr>
        <w:spacing w:after="200" w:line="320"/>
        <w:jc w:val="both"/>
      </w:pPr>
      <w:r>
        <w:rPr>
          <w:rFonts w:ascii="Georgia" w:cs="Georgia" w:eastAsia="Georgia" w:hAnsi="Georgia"/>
          <w:b/>
          <w:bCs/>
          <w:sz w:val="22"/>
          <w:szCs w:val="22"/>
        </w:rPr>
        <w:t xml:space="preserve">Universal healthcare coverage for worker AND family: </w:t>
      </w:r>
      <w:r>
        <w:rPr>
          <w:rFonts w:ascii="Georgia" w:cs="Georgia" w:eastAsia="Georgia" w:hAnsi="Georgia"/>
          <w:color w:val="1A1A1A"/>
          <w:sz w:val="22"/>
          <w:szCs w:val="22"/>
        </w:rPr>
        <w:t xml:space="preserve">No premium, no network restrictions tied to employment, no loss of coverage during job changes, no coverage gaps. Includes all medically necessary care without separate deductibles or out-of-pocket maximums tied to employer plans.</w:t>
      </w:r>
    </w:p>
    <w:p>
      <w:pPr>
        <w:spacing w:after="200" w:line="320"/>
        <w:jc w:val="both"/>
      </w:pPr>
      <w:r>
        <w:rPr>
          <w:rFonts w:ascii="Georgia" w:cs="Georgia" w:eastAsia="Georgia" w:hAnsi="Georgia"/>
          <w:b/>
          <w:bCs/>
          <w:sz w:val="22"/>
          <w:szCs w:val="22"/>
        </w:rPr>
        <w:t xml:space="preserve">Universal childcare access: </w:t>
      </w:r>
      <w:r>
        <w:rPr>
          <w:rFonts w:ascii="Georgia" w:cs="Georgia" w:eastAsia="Georgia" w:hAnsi="Georgia"/>
          <w:color w:val="1A1A1A"/>
          <w:sz w:val="22"/>
          <w:szCs w:val="22"/>
        </w:rPr>
        <w:t xml:space="preserve">$10/day cap on childcare costs for working families with young children. Effectively eliminates one of the largest expenses in current household budgets.</w:t>
      </w:r>
    </w:p>
    <w:p>
      <w:pPr>
        <w:spacing w:after="200" w:line="320"/>
        <w:jc w:val="both"/>
      </w:pPr>
      <w:r>
        <w:rPr>
          <w:rFonts w:ascii="Georgia" w:cs="Georgia" w:eastAsia="Georgia" w:hAnsi="Georgia"/>
          <w:b/>
          <w:bCs/>
          <w:sz w:val="22"/>
          <w:szCs w:val="22"/>
        </w:rPr>
        <w:t xml:space="preserve">Universal mental health access: </w:t>
      </w:r>
      <w:r>
        <w:rPr>
          <w:rFonts w:ascii="Georgia" w:cs="Georgia" w:eastAsia="Georgia" w:hAnsi="Georgia"/>
          <w:color w:val="1A1A1A"/>
          <w:sz w:val="22"/>
          <w:szCs w:val="22"/>
        </w:rPr>
        <w:t xml:space="preserve">No barriers to mental health services; expanded workforce reduces wait times; covered without separate cost-sharing.</w:t>
      </w:r>
    </w:p>
    <w:p>
      <w:pPr>
        <w:spacing w:after="200" w:line="320"/>
        <w:jc w:val="both"/>
      </w:pPr>
      <w:r>
        <w:rPr>
          <w:rFonts w:ascii="Georgia" w:cs="Georgia" w:eastAsia="Georgia" w:hAnsi="Georgia"/>
          <w:b/>
          <w:bCs/>
          <w:sz w:val="22"/>
          <w:szCs w:val="22"/>
        </w:rPr>
        <w:t>Sovereign Fund retirement balance: Personal account that grows through worker contributions and investment returns; projected to reach approximately $865,000 by retirement age for someone starting at age 25 with full career participation [RESTATED v3.8.369] this read $1.2 million, which used the optimistic 5.5 percent individual-account return; $865,000 is the figure at the platform's published 4.0 percent, the same correction made in 03_Community_Contribution_Plan_WhitePaper at v3.8.354. More reliable than Social Security's projection-dependent benefits.  (Source baseline: see Sources_And_Derivation_Convention.docx.) The figure above is at the platform's published return. [RESTATED v3.8.369] This note previously said the illustration used 'the optimistic 5.5 percent individual-account return' and that the sourced value was 'materially lower' WITHOUT GIVING IT; the platform publishes it, so it is now stated. The calibration remains tracked as RESEARCH-21 in the Tracked Issues Registry.</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Education fund access: The Sovereign Education Fund covers tuition and required fees for the worker, the worker's children, and any other household member pursuing education through age 30. Coverage extends from vocational training through doctoral programs (research and professional doctorates), with no cap on the number of fields or credentials a citizen may pursue within the age-30 funding window. Continued funding is conditioned on academic performance. Doctoral students receive living stipends. Eliminates student debt for participating institutions.</w:t>
      </w:r>
      <w:r>
        <w:rPr>
          <w:rFonts w:ascii="Georgia" w:cs="Georgia" w:eastAsia="Georgia" w:hAnsi="Georgia"/>
          <w:color w:val="1A1A1A"/>
          <w:sz w:val="22"/>
          <w:szCs w:val="22"/>
        </w:rPr>
      </w:r>
    </w:p>
    <w:p>
      <w:pPr>
        <w:spacing w:after="200" w:line="320"/>
        <w:jc w:val="both"/>
      </w:pPr>
      <w:r>
        <w:rPr>
          <w:rFonts w:ascii="Georgia" w:cs="Georgia" w:eastAsia="Georgia" w:hAnsi="Georgia"/>
          <w:b/>
          <w:bCs/>
          <w:sz w:val="22"/>
          <w:szCs w:val="22"/>
        </w:rPr>
        <w:t xml:space="preserve">Wage floor protection: </w:t>
      </w:r>
      <w:r>
        <w:rPr>
          <w:rFonts w:ascii="Georgia" w:cs="Georgia" w:eastAsia="Georgia" w:hAnsi="Georgia"/>
          <w:color w:val="1A1A1A"/>
          <w:sz w:val="22"/>
          <w:szCs w:val="22"/>
        </w:rPr>
        <w:t xml:space="preserve">Empirical wage floors update regularly based on labor market data, providing structural support for fair compensation across the worker's career. The floor also functions as the federal income tax exemption threshold under the wage floor tax architecture.</w:t>
      </w:r>
    </w:p>
    <w:p>
      <w:pPr>
        <w:spacing w:after="200" w:line="320"/>
        <w:jc w:val="both"/>
      </w:pPr>
      <w:r>
        <w:rPr>
          <w:rFonts w:ascii="Georgia" w:cs="Georgia" w:eastAsia="Georgia" w:hAnsi="Georgia"/>
          <w:b/>
          <w:bCs/>
          <w:sz w:val="22"/>
          <w:szCs w:val="22"/>
        </w:rPr>
        <w:t xml:space="preserve">Compound benefits: </w:t>
      </w:r>
      <w:r>
        <w:rPr>
          <w:rFonts w:ascii="Georgia" w:cs="Georgia" w:eastAsia="Georgia" w:hAnsi="Georgia"/>
          <w:color w:val="1A1A1A"/>
          <w:sz w:val="22"/>
          <w:szCs w:val="22"/>
        </w:rPr>
        <w:t xml:space="preserve">Retroactive medical debt retirement (Years 5-10 of platform), retroactive student loan retirement (Years 5-25), identity theft reduction from architectural simplification, restored cognitive bandwidth from elimination of survival logistics, transparent information for major life decisions.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The dollar comparison shows working-class and middle-class workers paying less under the platform. The value-received comparison shows them receiving substantially more for the lower amount they pay. This is what makes the platform's mathematics defensible: it isn't a free lunch, it's the result of architectural simplification eliminating the administrative overhead that the current multi-payer system requires.</w:t>
            </w:r>
          </w:p>
        </w:tc>
      </w:tr>
    </w:tbl>
    <w:p>
      <w:r>
        <w:br w:type="page"/>
      </w:r>
    </w:p>
    <w:p>
      <w:pPr>
        <w:pStyle w:val="Heading1"/>
        <w:spacing w:after="240" w:before="480"/>
      </w:pPr>
      <w:r>
        <w:rPr>
          <w:rFonts w:ascii="Arial" w:cs="Arial" w:eastAsia="Arial" w:hAnsi="Arial"/>
          <w:b/>
          <w:bCs/>
          <w:color w:val="1F4E78"/>
          <w:sz w:val="36"/>
          <w:szCs w:val="36"/>
        </w:rPr>
        <w:t>Note on Scope: What These Tables Include and Exclude</w:t>
      </w:r>
    </w:p>
    <w:p>
      <w:pPr>
        <w:spacing w:after="240" w:line="340"/>
        <w:jc w:val="both"/>
      </w:pPr>
      <w:r>
        <w:rPr>
          <w:rFonts w:ascii="Georgia" w:cs="Georgia" w:eastAsia="Georgia" w:hAnsi="Georgia"/>
          <w:color w:val="1A1A1A"/>
          <w:sz w:val="24"/>
          <w:szCs w:val="24"/>
        </w:rPr>
        <w:t>All household-cost tables in this document — the summary table, the detailed line-item breakdowns at $50K and $100K, and the income-scaling tables across multiple income levels — include the v2.9 additions: broadband subscription savings, tax preparation expected value, and identity theft / fraud expected loss reductions. These additions reflect the platform's commitments under the Civic Infrastructure pillar (Universal Broadband, Direct File through Civic Technology, federal identity infrastructure) that have substantiated funding plans and translate cleanly to per-household dollar figures.</w:t>
      </w:r>
    </w:p>
    <w:p>
      <w:pPr>
        <w:spacing w:after="240" w:line="340"/>
        <w:jc w:val="both"/>
      </w:pPr>
      <w:r>
        <w:rPr>
          <w:rFonts w:ascii="Georgia" w:cs="Georgia" w:eastAsia="Georgia" w:hAnsi="Georgia"/>
          <w:color w:val="1A1A1A"/>
          <w:sz w:val="24"/>
          <w:szCs w:val="24"/>
        </w:rPr>
        <w:t>The column headers in the income-scaling tables were updated from 'Current Tax + Premium' to 'Current Total Cost' to reflect the broader scope. The savings figures are approximately $1,120 higher per household per year than they would be under the federal-channel-only comparison. The platform-side figures continue to reflect the wage floor architecture — federal income tax is calculated on income above each occupation's empirical wage floor rather than using the standard deduction. This is the platform's core tax architecture innovation; the new household-cost line items added in v2.9 exist independently of the income tax calculation.</w:t>
      </w:r>
    </w:p>
    <w:p>
      <w:pPr>
        <w:pStyle w:val="Heading2"/>
        <w:spacing w:after="160" w:before="360"/>
      </w:pPr>
      <w:r>
        <w:rPr>
          <w:rFonts w:ascii="Arial" w:cs="Arial" w:eastAsia="Arial" w:hAnsi="Arial"/>
          <w:b/>
          <w:bCs/>
          <w:color w:val="1F4E78"/>
          <w:sz w:val="28"/>
          <w:szCs w:val="28"/>
        </w:rPr>
        <w:t>What These Tables Include</w:t>
      </w:r>
    </w:p>
    <w:p>
      <w:pPr>
        <w:spacing w:after="240" w:line="340"/>
        <w:jc w:val="both"/>
      </w:pPr>
      <w:r>
        <w:rPr>
          <w:rFonts w:ascii="Georgia" w:cs="Georgia" w:eastAsia="Georgia" w:hAnsi="Georgia"/>
          <w:color w:val="1A1A1A"/>
          <w:sz w:val="24"/>
          <w:szCs w:val="24"/>
        </w:rPr>
        <w:t>All household-cost tables in this document use a consistent federal-channel scope. They include the cost categories that apply uniformly to all households regardless of state of residence, employer arrangement, or family composition. Specifically, the tables include: federal income tax (calculated under each system using the appropriate deduction or wage floor exemption); current Social Security and Medicare payroll taxes on the current side, with these absorbed into the universal healthcare contribution on the platform side (mature steady-state treatment); the household's share of employer-sponsored health insurance premium on the current side, replaced by the universal healthcare contribution on the platform side; and the v2.9 Civic Infrastructure additions of broadband subscription savings, tax preparation expected value (averaged across the half of households who use professional preparation), and identity theft and fraud expected loss reductions.</w:t>
      </w:r>
    </w:p>
    <w:p>
      <w:pPr>
        <w:pStyle w:val="Heading2"/>
        <w:spacing w:after="160" w:before="360"/>
      </w:pPr>
      <w:r>
        <w:rPr>
          <w:rFonts w:ascii="Arial" w:cs="Arial" w:eastAsia="Arial" w:hAnsi="Arial"/>
          <w:b/>
          <w:bCs/>
          <w:color w:val="1F4E78"/>
          <w:sz w:val="28"/>
          <w:szCs w:val="28"/>
        </w:rPr>
        <w:t>What These Tables Exclude</w:t>
      </w:r>
    </w:p>
    <w:p>
      <w:pPr>
        <w:spacing w:after="240" w:line="340"/>
        <w:jc w:val="both"/>
      </w:pPr>
      <w:r>
        <w:rPr>
          <w:rFonts w:ascii="Georgia" w:cs="Georgia" w:eastAsia="Georgia" w:hAnsi="Georgia"/>
          <w:color w:val="1A1A1A"/>
          <w:sz w:val="24"/>
          <w:szCs w:val="24"/>
        </w:rPr>
        <w:t>Three substantial cost categories are deliberately excluded from these tables because they vary too much across households for a clean side-by-side comparison: state income tax, out-of-pocket medical expenses, and childcare costs. State income tax varies from 0% in nine states to over 13% in the highest-tax states; including a representative state tax figure would either understate or overstate the burden for most readers. Out-of-pocket medical expenses depend heavily on health status, deductible structure, and prescription drug usage; the typical household's $4,500 average masks enormous variation. Childcare costs apply only to households with children under five (approximately 26% of US households) and vary by an order of magnitude depending on number of children, type of care, and geographic region. Adding these would require so many assumptions that the tables would be misleading more often than they were accurate.</w:t>
      </w:r>
    </w:p>
    <w:p>
      <w:pPr>
        <w:spacing w:after="240" w:line="340"/>
        <w:jc w:val="both"/>
      </w:pPr>
      <w:r>
        <w:rPr>
          <w:rFonts w:ascii="Georgia" w:cs="Georgia" w:eastAsia="Georgia" w:hAnsi="Georgia"/>
          <w:color w:val="1A1A1A"/>
          <w:sz w:val="24"/>
          <w:szCs w:val="24"/>
        </w:rPr>
        <w:t>The exclusion of these categories means the savings figures shown in this document are conservative for any household that experiences savings in those categories under the platform. A household with substantial out-of-pocket medical expenses, in a high-tax state, with childcare needs would see savings substantially larger than these tables show. The platform's universal healthcare reduces out-of-pocket medical from a typical $4,500 to approximately $1,500. The platform's universal childcare reduces childcare costs from a typical $13,710 per child per year to approximately $250 per month per child (Quebec model). State tax is unaffected by the federal platform. Households in these situations should refer to the broader scope used in the median household example in Does This Raise Taxes to understand their full picture.</w:t>
      </w:r>
    </w:p>
    <w:p>
      <w:pPr>
        <w:pStyle w:val="Heading2"/>
        <w:spacing w:after="160" w:before="360"/>
      </w:pPr>
      <w:r>
        <w:rPr>
          <w:rFonts w:ascii="Arial" w:cs="Arial" w:eastAsia="Arial" w:hAnsi="Arial"/>
          <w:b/>
          <w:bCs/>
          <w:color w:val="1F4E78"/>
          <w:sz w:val="28"/>
          <w:szCs w:val="28"/>
        </w:rPr>
        <w:t>How These Tables Relate to the Median Household Example in Does This Raise Taxes</w:t>
      </w:r>
    </w:p>
    <w:p>
      <w:pPr>
        <w:spacing w:after="240" w:line="340"/>
        <w:jc w:val="both"/>
      </w:pPr>
      <w:r>
        <w:rPr>
          <w:rFonts w:ascii="Georgia" w:cs="Georgia" w:eastAsia="Georgia" w:hAnsi="Georgia"/>
          <w:color w:val="1A1A1A"/>
          <w:sz w:val="24"/>
          <w:szCs w:val="24"/>
        </w:rPr>
        <w:t>The companion document Does This Raise Taxes uses one anchoring example: a married-filing-jointly household at $75,000 of income with one child who needs childcare. That example uses a broader scope than these tables, including state income tax, out-of-pocket medical expenses, and childcare costs. It also uses transition-state treatment of payroll taxes (FICA continues alongside the new platform contributions during the deployment timeline; the Community Contribution Plan replaces FICA at a revenue-neutral rate in mature steady state). The Does This Raise Taxes example shows annual savings of $15,218 [REBUILT v3.8.402: the household comparison was rebuilt at the registered median of $83,730 and with the wage-floor phase-out applied; the saving is now $15,218. The previous figure was computed at $75,000 and without the phase-out.]. The corresponding row here (MFJ no kids at $75,000) shows $14,864. The corresponding row for households with children (MFJ with 2 kids at $75,000) shows $10,864 — lower because the Child Tax Credit reduces the current-side federal income tax that the savings are measured against.</w:t>
      </w:r>
    </w:p>
    <w:p>
      <w:pPr>
        <w:spacing w:after="240" w:line="340"/>
        <w:jc w:val="both"/>
      </w:pPr>
      <w:r>
        <w:rPr>
          <w:rFonts w:ascii="Georgia" w:cs="Georgia" w:eastAsia="Georgia" w:hAnsi="Georgia"/>
          <w:color w:val="1A1A1A"/>
          <w:sz w:val="24"/>
          <w:szCs w:val="24"/>
        </w:rPr>
        <w:t>The differences across these figures reflect the legitimate scope and timeframe choices made in each document, not arithmetic errors. Reading both documents in sequence (the Manifesto first for context, then Does This Raise Taxes for the median-household walk-through, then this document for filer-by-filer scaling) produces a coherent picture. A reader whose situation matches the median household closely should weight the Does This Raise Taxes figure more heavily for their personal estimate. A reader whose situation differs (no kids, different income, single filer, different state) should weight the corresponding row in this document more heavily. The planned v2.12 We The People Calculator will let any reader produce a personalized side-by-side comparison matching their own situation across all relevant cost dimensions.</w:t>
      </w:r>
    </w:p>
    <w:p>
      <w:pPr>
        <w:pStyle w:val="Heading1"/>
        <w:spacing w:after="240" w:before="480"/>
      </w:pPr>
      <w:r>
        <w:rPr>
          <w:rFonts w:ascii="Arial" w:cs="Arial" w:eastAsia="Arial" w:hAnsi="Arial"/>
          <w:b/>
          <w:bCs/>
          <w:color w:val="1F4E78"/>
          <w:sz w:val="36"/>
          <w:szCs w:val="36"/>
        </w:rPr>
        <w:t>Public Infrastructure Benefits Not Captured Here</w:t>
      </w:r>
    </w:p>
    <w:p>
      <w:pPr>
        <w:spacing w:after="240" w:line="340"/>
        <w:jc w:val="both"/>
      </w:pPr>
      <w:r>
        <w:rPr>
          <w:rFonts w:ascii="Georgia" w:cs="Georgia" w:eastAsia="Georgia" w:hAnsi="Georgia"/>
          <w:color w:val="1A1A1A"/>
          <w:sz w:val="24"/>
          <w:szCs w:val="24"/>
        </w:rPr>
        <w:t>The dollar figures in the tables above account for the platform benefits that translate cleanly to per-household cash flow. The platform also commits substantial federal investment to physical and digital systems whose value to citizens is real but does not convert easily to a per-household figure. These benefits are listed here so readers understand what the dollar comparison does not capture.</w:t>
      </w:r>
    </w:p>
    <w:p>
      <w:pPr>
        <w:spacing w:after="240" w:line="340"/>
        <w:jc w:val="both"/>
      </w:pPr>
      <w:r>
        <w:rPr>
          <w:rFonts w:ascii="Georgia" w:cs="Georgia" w:eastAsia="Georgia" w:hAnsi="Georgia"/>
          <w:color w:val="1A1A1A"/>
          <w:sz w:val="24"/>
          <w:szCs w:val="24"/>
        </w:rPr>
        <w:t>Transportation infrastructure (~$80-120 billion annually) addresses the structural deficiency rate that affects roughly twenty percent of American bridges and the chronic underinvestment in transit, freight rail, and active transportation. Citizens benefit through reduced commute times in modernized corridors, fewer vehicle damage costs, expanded transit access, and reduced exposure to safety risks. The dollar value to any specific household varies by geography and travel patterns.</w:t>
      </w:r>
    </w:p>
    <w:p>
      <w:pPr>
        <w:spacing w:after="240" w:line="340"/>
        <w:jc w:val="both"/>
      </w:pPr>
      <w:r>
        <w:rPr>
          <w:rFonts w:ascii="Georgia" w:cs="Georgia" w:eastAsia="Georgia" w:hAnsi="Georgia"/>
          <w:color w:val="1A1A1A"/>
          <w:sz w:val="24"/>
          <w:szCs w:val="24"/>
        </w:rPr>
        <w:t>Water and sewer systems (~$40-60 billion annually) addresses lead service lines remaining in roughly nine million American homes, combined sewer overflows in older cities, and aging water infrastructure. Citizens benefit through reduced lead exposure (with documented effects on childhood cognitive development), fewer service disruptions, and reduced contamination risk. The lifetime cost of childhood lead exposure to affected households can run into the tens of thousands of dollars.</w:t>
      </w:r>
    </w:p>
    <w:p>
      <w:pPr>
        <w:spacing w:after="240" w:line="340"/>
        <w:jc w:val="both"/>
      </w:pPr>
      <w:r>
        <w:rPr>
          <w:rFonts w:ascii="Georgia" w:cs="Georgia" w:eastAsia="Georgia" w:hAnsi="Georgia"/>
          <w:color w:val="1A1A1A"/>
          <w:sz w:val="24"/>
          <w:szCs w:val="24"/>
        </w:rPr>
        <w:t>Public spaces (~$22-32 billion annually) addresses underinvestment in libraries, parks, community centers, and cultural infrastructure. Libraries provide computing, internet access, and learning resources to households that lack alternatives — most concentrated for the lowest-income households.</w:t>
      </w:r>
    </w:p>
    <w:p>
      <w:pPr>
        <w:spacing w:after="240" w:line="340"/>
        <w:jc w:val="both"/>
      </w:pPr>
      <w:r>
        <w:rPr>
          <w:rFonts w:ascii="Georgia" w:cs="Georgia" w:eastAsia="Georgia" w:hAnsi="Georgia"/>
          <w:color w:val="1A1A1A"/>
          <w:sz w:val="24"/>
          <w:szCs w:val="24"/>
        </w:rPr>
        <w:t>Energy grid modernization (~$50-80 billion annually) addresses transmission and distribution infrastructure averaging forty years old. Citizens benefit through reduced outage frequency and duration, improved resilience against weather events, and the bidirectional capacity that distributed generation requires.</w:t>
      </w:r>
    </w:p>
    <w:p>
      <w:pPr>
        <w:spacing w:after="240" w:line="340"/>
        <w:jc w:val="both"/>
      </w:pPr>
      <w:r>
        <w:rPr>
          <w:rFonts w:ascii="Georgia" w:cs="Georgia" w:eastAsia="Georgia" w:hAnsi="Georgia"/>
          <w:color w:val="1A1A1A"/>
          <w:sz w:val="24"/>
          <w:szCs w:val="24"/>
        </w:rPr>
        <w:t>These four components total approximately $192-292 billion annually at full deployment. Excluding them from the per-household tables is a judgment that converting them to per-household figures would require assumptions specific enough to specific households that an averaged figure would mislead more than inform. The benefits are real, are funded, and produce value not captured in the tables.</w:t>
      </w:r>
    </w:p>
    <w:p>
      <w:pPr>
        <w:pStyle w:val="Heading1"/>
        <w:spacing w:after="240" w:before="480"/>
      </w:pPr>
      <w:r>
        <w:rPr>
          <w:rFonts w:ascii="Arial" w:cs="Arial" w:eastAsia="Arial" w:hAnsi="Arial"/>
          <w:b/>
          <w:bCs/>
          <w:color w:val="1F4E78"/>
          <w:sz w:val="36"/>
          <w:szCs w:val="36"/>
        </w:rPr>
        <w:t>Methodology Note: How the New Per-Household Numbers Were Estimated</w:t>
      </w:r>
    </w:p>
    <w:p>
      <w:pPr>
        <w:spacing w:after="240" w:line="340"/>
        <w:jc w:val="both"/>
      </w:pPr>
      <w:r>
        <w:rPr>
          <w:rFonts w:ascii="Georgia" w:cs="Georgia" w:eastAsia="Georgia" w:hAnsi="Georgia"/>
          <w:color w:val="1A1A1A"/>
          <w:sz w:val="24"/>
          <w:szCs w:val="24"/>
        </w:rPr>
        <w:t>The three new line items added in v2.9 rest on assumptions worth naming explicitly so readers can adjust them for their own circumstances.</w:t>
      </w:r>
    </w:p>
    <w:p>
      <w:pPr>
        <w:pStyle w:val="Heading3"/>
        <w:spacing w:after="120" w:before="240"/>
      </w:pPr>
      <w:r>
        <w:rPr>
          <w:rFonts w:ascii="Arial" w:cs="Arial" w:eastAsia="Arial" w:hAnsi="Arial"/>
          <w:b/>
          <w:bCs/>
          <w:color w:val="C00000"/>
          <w:sz w:val="22"/>
          <w:szCs w:val="22"/>
        </w:rPr>
        <w:t>Tax Preparation Savings ($150 expected value)</w:t>
      </w:r>
    </w:p>
    <w:p>
      <w:pPr>
        <w:spacing w:after="240" w:line="340"/>
        <w:jc w:val="both"/>
      </w:pPr>
      <w:r>
        <w:rPr>
          <w:rFonts w:ascii="Georgia" w:cs="Georgia" w:eastAsia="Georgia" w:hAnsi="Georgia"/>
          <w:color w:val="1A1A1A"/>
          <w:sz w:val="24"/>
          <w:szCs w:val="24"/>
        </w:rPr>
        <w:t>Direct File expansion to all fifty states with pre-population produces national tax preparation savings estimated at $24-26 billion annually, concentrated in the roughly fifty percent of households that currently pay for professional tax preparation (average annual cost $290-300). The $150 figure is the expected value across all households (half of households currently pay zero and would continue to pay zero). For a household that currently pays for tax prep, actual savings are closer to $290; for a household that currently files independently, savings are zero. Readers can adjust upward or downward based on their current arrangement.</w:t>
      </w:r>
    </w:p>
    <w:p>
      <w:pPr>
        <w:pStyle w:val="Heading3"/>
        <w:spacing w:after="120" w:before="240"/>
      </w:pPr>
      <w:r>
        <w:rPr>
          <w:rFonts w:ascii="Arial" w:cs="Arial" w:eastAsia="Arial" w:hAnsi="Arial"/>
          <w:b/>
          <w:bCs/>
          <w:color w:val="C00000"/>
          <w:sz w:val="22"/>
          <w:szCs w:val="22"/>
        </w:rPr>
        <w:t>Identity Theft / Fraud Expected Loss ($100 to $15)</w:t>
      </w:r>
    </w:p>
    <w:p>
      <w:pPr>
        <w:spacing w:after="240" w:line="340"/>
        <w:jc w:val="both"/>
      </w:pPr>
      <w:r>
        <w:rPr>
          <w:rFonts w:ascii="Georgia" w:cs="Georgia" w:eastAsia="Georgia" w:hAnsi="Georgia"/>
          <w:color w:val="1A1A1A"/>
          <w:sz w:val="24"/>
          <w:szCs w:val="24"/>
        </w:rPr>
        <w:t>Federal identity infrastructure (Login.gov as universal layer) reduces the exposure that produces approximately $43 billion [SUPERSEDED v3.8.239: the sourced figure is $27.3 billion, identity fraud excluding scams, Javelin Identity Fraud Study 2025. The $43 billion came from the 2024 study covering 2023 and is two vintages stale; see 05_Identity_Theft_Reduction.docx] in annual identity theft and fraud losses across American households. Distributed across roughly 132 million households, this averages to approximately $325 per household per year — but most households experience zero direct loss in any given year, while affected households experience losses ranging from hundreds to tens of thousands of dollars. The $100 figure is a deliberately conservative estimate of expected annual loss; the $15 platform figure assumes 80-85% reduction in fraud exposure. The conservative approach is intended to undersell rather than overstate. Readers whose households have experienced identity theft can substitute their own actual cost; readers who have not can treat the $100 figure as risk-distributed rather than annually realized.</w:t>
      </w:r>
    </w:p>
    <w:p>
      <w:pPr>
        <w:pStyle w:val="Heading3"/>
        <w:spacing w:after="120" w:before="240"/>
      </w:pPr>
      <w:r>
        <w:rPr>
          <w:rFonts w:ascii="Arial" w:cs="Arial" w:eastAsia="Arial" w:hAnsi="Arial"/>
          <w:b/>
          <w:bCs/>
          <w:color w:val="C00000"/>
          <w:sz w:val="22"/>
          <w:szCs w:val="22"/>
        </w:rPr>
        <w:t>Broadband Subscription Savings ($900)</w:t>
      </w:r>
    </w:p>
    <w:p>
      <w:pPr>
        <w:spacing w:after="240" w:line="340"/>
        <w:jc w:val="both"/>
      </w:pPr>
      <w:r>
        <w:rPr>
          <w:rFonts w:ascii="Georgia" w:cs="Georgia" w:eastAsia="Georgia" w:hAnsi="Georgia"/>
          <w:color w:val="1A1A1A"/>
          <w:sz w:val="24"/>
          <w:szCs w:val="24"/>
        </w:rPr>
        <w:t>Free Universal Basic Broadband provides 100/20 Mbps service to every household at no cost. The $900 figure assumes a household currently pays $75 per month for broadband. Households paying more (urban areas with limited competition often see $90-110 per month) would see proportionally larger savings; households in rural areas currently lacking access would gain the full benefit of new service availability. Households preferring premium-tier service above the universal basic floor would still have access through commercial providers; the savings figure assumes substitution rather than maintaining both.</w:t>
      </w:r>
    </w:p>
    <w:p>
      <w:pPr>
        <w:pStyle w:val="Heading2"/>
        <w:spacing w:after="160" w:before="360"/>
      </w:pPr>
      <w:r>
        <w:rPr>
          <w:rFonts w:ascii="Arial" w:cs="Arial" w:eastAsia="Arial" w:hAnsi="Arial"/>
          <w:b/>
          <w:bCs/>
          <w:color w:val="1F4E78"/>
          <w:sz w:val="28"/>
          <w:szCs w:val="28"/>
        </w:rPr>
        <w:t>On the Displayed Contribution Rates</w:t>
      </w:r>
    </w:p>
    <w:p>
      <w:pPr>
        <w:spacing w:after="240" w:line="340"/>
        <w:jc w:val="both"/>
      </w:pPr>
      <w:r>
        <w:rPr>
          <w:rFonts w:ascii="Georgia" w:cs="Georgia" w:eastAsia="Georgia" w:hAnsi="Georgia"/>
          <w:color w:val="1A1A1A"/>
          <w:sz w:val="24"/>
          <w:szCs w:val="24"/>
        </w:rPr>
        <w:t>The canonical OPEN-1 healthcare contribution structure (resolved in v2.26.3, documented in the Open Issues Registry (OIR) Section 10 and updated for Option E in OIR Section 130) is 4% employer + 2% employee = 6% combined. The comparison tables in this document, in Does This Raise Taxes, and in the calculator show all three values explicitly: the employee share (visible on a worker's paystub), the employer share (paid by the firm on the worker's behalf), and the combined rate (the full economic burden on the worker under standard tax-incidence theory, since the employer's share comes from wages that would otherwise be paid). Earlier versions of this document used a single-share convention, which was the source of long-standing apparent contradictions across the platform's materials (some examples used 4%, others used 2%, with inconsistent labels). The both-sides display resolves that by simply showing both rather than picking one.</w:t>
      </w:r>
    </w:p>
    <w:p>
      <w:pPr>
        <w:spacing w:after="240" w:line="340"/>
        <w:jc w:val="both"/>
      </w:pPr>
      <w:r>
        <w:rPr>
          <w:rFonts w:ascii="Georgia" w:cs="Georgia" w:eastAsia="Georgia" w:hAnsi="Georgia"/>
          <w:color w:val="1A1A1A"/>
          <w:sz w:val="24"/>
          <w:szCs w:val="24"/>
        </w:rPr>
        <w:t>The contribution rates shown in the platform-side columns of all tables in this document — for healthcare, childcare, mental health, paid family time, and long-term care — are displayed in their three-value form (employee, employer, combined) per the Option E convention. The platform's full architecture remains 4% employer plus 2% employee for healthcare (6% combined), 0.8% plus 0.5% for childcare (1.3% combined), 0.5% plus 0.3% for mental health (0.8% combined), 0.25% plus 0.15% for paid family time (0.4% combined), and 0.6% plus 0.4% for long-term care (1.0% combined). Tables and worked examples elsewhere in this document show whichever value is most relevant to the specific example (employee share when describing what appears on a paystub; combined when describing total household economic burden); the reader can convert between values using the architecture above. The Federal Fiscal Impact Analysis uses the combined rates throughout because that is what the federal program collects in aggregate.</w:t>
      </w:r>
    </w:p>
    <w:p>
      <w:pPr>
        <w:pStyle w:val="Heading1"/>
        <w:spacing w:after="240" w:before="480"/>
      </w:pPr>
      <w:r>
        <w:rPr>
          <w:rFonts w:ascii="Arial" w:cs="Arial" w:eastAsia="Arial" w:hAnsi="Arial"/>
          <w:b/>
          <w:bCs/>
          <w:color w:val="1F4E78"/>
          <w:sz w:val="36"/>
          <w:szCs w:val="36"/>
        </w:rPr>
        <w:t>Intangible Benefits Not Captured in the Tables</w:t>
      </w:r>
    </w:p>
    <w:p>
      <w:pPr>
        <w:spacing w:after="240" w:line="340"/>
        <w:jc w:val="both"/>
      </w:pPr>
      <w:r>
        <w:rPr>
          <w:rFonts w:ascii="Georgia" w:cs="Georgia" w:eastAsia="Georgia" w:hAnsi="Georgia"/>
          <w:color w:val="1A1A1A"/>
          <w:sz w:val="24"/>
          <w:szCs w:val="24"/>
        </w:rPr>
        <w:t>The dollar figures capture the financial impact of the platform on each scenario. They do not capture several categories of benefit that are real, that affect quality of life, and that for many households matter as much or more than the dollar figures. These benefits are described here qualitatively rather than monetized, both because converting them to dollars introduces double-counting risk and because their value depends on individual circumstances in ways an averaged dollar figure would obscure.</w:t>
      </w:r>
    </w:p>
    <w:p>
      <w:pPr>
        <w:pStyle w:val="Heading3"/>
        <w:spacing w:after="120" w:before="240"/>
      </w:pPr>
      <w:r>
        <w:rPr>
          <w:rFonts w:ascii="Arial" w:cs="Arial" w:eastAsia="Arial" w:hAnsi="Arial"/>
          <w:b/>
          <w:bCs/>
          <w:color w:val="C00000"/>
          <w:sz w:val="22"/>
          <w:szCs w:val="22"/>
        </w:rPr>
        <w:t>Time Recovered</w:t>
      </w:r>
    </w:p>
    <w:p>
      <w:pPr>
        <w:spacing w:after="240" w:line="340"/>
        <w:jc w:val="both"/>
      </w:pPr>
      <w:r>
        <w:rPr>
          <w:rFonts w:ascii="Georgia" w:cs="Georgia" w:eastAsia="Georgia" w:hAnsi="Georgia"/>
          <w:color w:val="1A1A1A"/>
          <w:sz w:val="24"/>
          <w:szCs w:val="24"/>
        </w:rPr>
        <w:t>American households currently spend roughly thirteen hours per year on tax compliance, ten to fifteen hours on healthcare administration, additional hours on childcare arrangements, and varying amounts navigating federal services. Across the platform's commitments, a typical household recovers thirty to fifty hours per year currently spent on administrative friction. The platform does not assign a dollar value to this time because doing so would either double-count tax-preparation savings already in the table or introduce arbitrary monetization.</w:t>
      </w:r>
    </w:p>
    <w:p>
      <w:pPr>
        <w:pStyle w:val="Heading3"/>
        <w:spacing w:after="120" w:before="240"/>
      </w:pPr>
      <w:r>
        <w:rPr>
          <w:rFonts w:ascii="Arial" w:cs="Arial" w:eastAsia="Arial" w:hAnsi="Arial"/>
          <w:b/>
          <w:bCs/>
          <w:color w:val="C00000"/>
          <w:sz w:val="22"/>
          <w:szCs w:val="22"/>
        </w:rPr>
        <w:t>Reduced Financial Anxiety</w:t>
      </w:r>
    </w:p>
    <w:p>
      <w:pPr>
        <w:spacing w:after="240" w:line="340"/>
        <w:jc w:val="both"/>
      </w:pPr>
      <w:r>
        <w:rPr>
          <w:rFonts w:ascii="Georgia" w:cs="Georgia" w:eastAsia="Georgia" w:hAnsi="Georgia"/>
          <w:color w:val="1A1A1A"/>
          <w:sz w:val="24"/>
          <w:szCs w:val="24"/>
        </w:rPr>
        <w:t>Medical bills are the leading cause of personal bankruptcy in the United States and a primary source of household financial anxiety. The platform's healthcare commitment eliminates medical bankruptcy as a category. Childcare cost uncertainty drives household financial planning stress for working parents. Identity theft, when it occurs, produces months of recovery work and ongoing anxiety. None of these reductions appear as line items in the tables; they are nonetheless real.</w:t>
      </w:r>
    </w:p>
    <w:p>
      <w:pPr>
        <w:pStyle w:val="Heading3"/>
        <w:spacing w:after="120" w:before="240"/>
      </w:pPr>
      <w:r>
        <w:rPr>
          <w:rFonts w:ascii="Arial" w:cs="Arial" w:eastAsia="Arial" w:hAnsi="Arial"/>
          <w:b/>
          <w:bCs/>
          <w:color w:val="C00000"/>
          <w:sz w:val="22"/>
          <w:szCs w:val="22"/>
        </w:rPr>
        <w:t>Peace of Mind from Universal Coverage</w:t>
      </w:r>
    </w:p>
    <w:p>
      <w:pPr>
        <w:spacing w:after="240" w:line="340"/>
        <w:jc w:val="both"/>
      </w:pPr>
      <w:r>
        <w:rPr>
          <w:rFonts w:ascii="Georgia" w:cs="Georgia" w:eastAsia="Georgia" w:hAnsi="Georgia"/>
          <w:color w:val="1A1A1A"/>
          <w:sz w:val="24"/>
          <w:szCs w:val="24"/>
        </w:rPr>
        <w:t>Citizens with employer-provided healthcare experience anxiety about coverage gaps during job transitions, the COBRA cost cliff, the financial pressure to remain in current jobs because of healthcare considerations. Citizens with employer-provided childcare experience similar anxieties when changing employers. Universal coverage commitments eliminate the dependency between employment and access to these services. This is a quality-of-life benefit even for citizens whose dollar arithmetic is roughly the same under either system.</w:t>
      </w:r>
    </w:p>
    <w:p>
      <w:pPr>
        <w:pStyle w:val="Heading3"/>
        <w:spacing w:after="120" w:before="240"/>
      </w:pPr>
      <w:r>
        <w:rPr>
          <w:rFonts w:ascii="Arial" w:cs="Arial" w:eastAsia="Arial" w:hAnsi="Arial"/>
          <w:b/>
          <w:bCs/>
          <w:color w:val="C00000"/>
          <w:sz w:val="22"/>
          <w:szCs w:val="22"/>
        </w:rPr>
        <w:t>Choice in Career and Family Decisions</w:t>
      </w:r>
    </w:p>
    <w:p>
      <w:pPr>
        <w:spacing w:after="240" w:line="340"/>
        <w:jc w:val="both"/>
      </w:pPr>
      <w:r>
        <w:rPr>
          <w:rFonts w:ascii="Georgia" w:cs="Georgia" w:eastAsia="Georgia" w:hAnsi="Georgia"/>
          <w:color w:val="1A1A1A"/>
          <w:sz w:val="24"/>
          <w:szCs w:val="24"/>
        </w:rPr>
        <w:t>When healthcare is tied to employment, the cost of leaving a current employer is higher than salary comparisons suggest, because transition introduces coverage risk. When childcare costs $1,500 per month per child, family decisions about second incomes, family size, and parental work schedules are constrained by childcare arithmetic. The platform expands the range of career and family decisions economically viable for working-class and middle-class households. Economists call this 'option value' — the value of being able to make choices the current system effectively forecloses.</w:t>
      </w:r>
    </w:p>
    <w:p>
      <w:pPr>
        <w:pStyle w:val="Heading3"/>
        <w:spacing w:after="120" w:before="240"/>
      </w:pPr>
      <w:r>
        <w:rPr>
          <w:rFonts w:ascii="Arial" w:cs="Arial" w:eastAsia="Arial" w:hAnsi="Arial"/>
          <w:b/>
          <w:bCs/>
          <w:color w:val="C00000"/>
          <w:sz w:val="22"/>
          <w:szCs w:val="22"/>
        </w:rPr>
        <w:t>Cumulative Lifetime Effects</w:t>
      </w:r>
    </w:p>
    <w:p>
      <w:pPr>
        <w:spacing w:after="240" w:line="340"/>
        <w:jc w:val="both"/>
      </w:pPr>
      <w:r>
        <w:rPr>
          <w:rFonts w:ascii="Georgia" w:cs="Georgia" w:eastAsia="Georgia" w:hAnsi="Georgia"/>
          <w:color w:val="1A1A1A"/>
          <w:sz w:val="24"/>
          <w:szCs w:val="24"/>
        </w:rPr>
        <w:t>The tables show annual figures. Over a forty-year working life, the platform's benefits compound substantially. For a household saving approximately $10,000 per year, the nominal sum at today's dollar values is $400,000. The platform's commitments tend to scale with the cost of the underlying services they replace, so household savings grow with general inflation rather than remaining fixed. Adjusting for an assumed 2.5% annual inflation rate, the cumulative nominal savings over forty years total approximately $674,000. The present value of those savings discounted at a 2% real rate (what the future savings are worth in today's purchasing power) is approximately $274,000. All three figures describe the same underlying benefit; they differ only in how future dollars are converted to comparable units. If the savings are invested or used to reduce debt rather than spent, the lifetime financial impact compounds further. The benefits to children of growing up with healthcare access, quality childcare, and the educational opportunities the platform supports compound across their lifetimes in ways that produce intergenerational effects the tables do not show.</w:t>
      </w:r>
    </w:p>
    <w:p>
      <w:pPr>
        <w:spacing w:after="240" w:line="340"/>
        <w:jc w:val="both"/>
      </w:pPr>
      <w:r>
        <w:rPr>
          <w:rFonts w:ascii="Georgia" w:cs="Georgia" w:eastAsia="Georgia" w:hAnsi="Georgia"/>
          <w:color w:val="1A1A1A"/>
          <w:sz w:val="24"/>
          <w:szCs w:val="24"/>
        </w:rPr>
        <w:t>These intangible benefits are honest acknowledgments of value the platform delivers that the tables cannot represent. Some readers will weight them heavily; others will discount them in favor of dollar arithmetic. Both approaches are reasonable. The platform's commitment is to be honest about what it delivers, including the value that does not show up in the comparison tables.</w:t>
      </w:r>
    </w:p>
    <w:p>
      <w:pPr>
        <w:pStyle w:val="Heading1"/>
        <w:spacing w:after="240" w:before="480"/>
      </w:pPr>
      <w:r>
        <w:rPr>
          <w:rFonts w:ascii="Arial" w:cs="Arial" w:eastAsia="Arial" w:hAnsi="Arial"/>
          <w:b/>
          <w:bCs/>
          <w:color w:val="1F4E78"/>
          <w:sz w:val="36"/>
          <w:szCs w:val="36"/>
        </w:rPr>
        <w:t xml:space="preserve">Important Caveats</w:t>
      </w:r>
    </w:p>
    <w:p>
      <w:pPr>
        <w:spacing w:after="240" w:line="340"/>
        <w:jc w:val="both"/>
      </w:pPr>
      <w:r>
        <w:rPr>
          <w:rFonts w:ascii="Georgia" w:cs="Georgia" w:eastAsia="Georgia" w:hAnsi="Georgia"/>
          <w:color w:val="1A1A1A"/>
          <w:sz w:val="24"/>
          <w:szCs w:val="24"/>
        </w:rPr>
        <w:t xml:space="preserve">The numbers in this document are honest but incomplete. Several factors that affect real tax situations aren't captured in these representative scenarios. Readers evaluating their own situations should understand these limitations.</w:t>
      </w:r>
    </w:p>
    <w:p>
      <w:pPr>
        <w:pStyle w:val="Heading3"/>
        <w:spacing w:after="120" w:before="240"/>
      </w:pPr>
      <w:r>
        <w:rPr>
          <w:rFonts w:ascii="Arial" w:cs="Arial" w:eastAsia="Arial" w:hAnsi="Arial"/>
          <w:b/>
          <w:bCs/>
          <w:color w:val="C00000"/>
          <w:sz w:val="22"/>
          <w:szCs w:val="22"/>
        </w:rPr>
        <w:t xml:space="preserve">State and local taxes are unchanged</w:t>
      </w:r>
    </w:p>
    <w:p>
      <w:pPr>
        <w:spacing w:after="200" w:line="320"/>
        <w:jc w:val="both"/>
      </w:pPr>
      <w:r>
        <w:rPr>
          <w:rFonts w:ascii="Georgia" w:cs="Georgia" w:eastAsia="Georgia" w:hAnsi="Georgia"/>
          <w:color w:val="1A1A1A"/>
          <w:sz w:val="22"/>
          <w:szCs w:val="22"/>
        </w:rPr>
        <w:t xml:space="preserve">This analysis covers federal taxation only. State income taxes, local taxes, property taxes, and sales taxes continue to apply under both systems. Workers in high-tax states (California, New York, New Jersey) have substantial state tax burdens that this comparison doesn't address. Workers in no-income-tax states (Texas, Florida, Tennessee) have lower total tax burdens than the federal-only comparison suggests. Some states might choose to mirror the platform's federal approach in their own tax codes; others might not. The platform's design doesn't require state coordination.</w:t>
      </w:r>
    </w:p>
    <w:p>
      <w:pPr>
        <w:pStyle w:val="Heading3"/>
        <w:spacing w:after="120" w:before="240"/>
      </w:pPr>
      <w:r>
        <w:rPr>
          <w:rFonts w:ascii="Arial" w:cs="Arial" w:eastAsia="Arial" w:hAnsi="Arial"/>
          <w:b/>
          <w:bCs/>
          <w:color w:val="C00000"/>
          <w:sz w:val="22"/>
          <w:szCs w:val="22"/>
        </w:rPr>
        <w:t xml:space="preserve">The transition years look different</w:t>
      </w:r>
    </w:p>
    <w:p>
      <w:pPr>
        <w:spacing w:after="200" w:line="320"/>
        <w:jc w:val="both"/>
      </w:pPr>
      <w:r>
        <w:rPr>
          <w:rFonts w:ascii="Georgia" w:cs="Georgia" w:eastAsia="Georgia" w:hAnsi="Georgia"/>
          <w:color w:val="1A1A1A"/>
          <w:sz w:val="22"/>
          <w:szCs w:val="22"/>
        </w:rPr>
        <w:t xml:space="preserve">These numbers represent the platform's mature steady-state operation — typically Years 10+ after enactment. During the build phase (Years 2-5), some platform contributions run in parallel with continued FICA before the old systems sunset. A worker in those years might temporarily pay both the platform contributions and continued FICA, which would substantially reduce their year-over-year savings during the transition. The mature savings shown here are real but emerge gradually rather than immediately upon enactment.</w:t>
      </w:r>
    </w:p>
    <w:p>
      <w:pPr>
        <w:pStyle w:val="Heading3"/>
        <w:spacing w:after="120" w:before="240"/>
      </w:pPr>
      <w:r>
        <w:rPr>
          <w:rFonts w:ascii="Arial" w:cs="Arial" w:eastAsia="Arial" w:hAnsi="Arial"/>
          <w:b/>
          <w:bCs/>
          <w:color w:val="C00000"/>
          <w:sz w:val="22"/>
          <w:szCs w:val="22"/>
        </w:rPr>
        <w:t xml:space="preserve">The wage floor varies by occupation</w:t>
      </w:r>
    </w:p>
    <w:p>
      <w:pPr>
        <w:spacing w:after="200" w:line="320"/>
        <w:jc w:val="both"/>
      </w:pPr>
      <w:r>
        <w:rPr>
          <w:rFonts w:ascii="Georgia" w:cs="Georgia" w:eastAsia="Georgia" w:hAnsi="Georgia"/>
          <w:color w:val="1A1A1A"/>
          <w:sz w:val="22"/>
          <w:szCs w:val="22"/>
        </w:rPr>
        <w:t xml:space="preserve">The numbers in this document use representative wage floors for each income level: $30,000 for low income, $38,000 for working class, $45,000 for middle class, $55,000 for upper-middle, $70,000 for high earners. Real wage floors vary substantially by occupation. A worker earning $100,000 in food service (with a wage floor around $28,000) sees a different exemption structure than a worker earning $100,000 in software engineering (with a floor around $85,000). The wage floor tax architecture's design makes occupation matter for tax calculation, which is part of its appeal but adds complexity not captured in these representative numbers.</w:t>
      </w:r>
    </w:p>
    <w:p>
      <w:pPr>
        <w:pStyle w:val="Heading3"/>
        <w:spacing w:after="120" w:before="240"/>
      </w:pPr>
      <w:r>
        <w:rPr>
          <w:rFonts w:ascii="Arial" w:cs="Arial" w:eastAsia="Arial" w:hAnsi="Arial"/>
          <w:b/>
          <w:bCs/>
          <w:color w:val="C00000"/>
          <w:sz w:val="22"/>
          <w:szCs w:val="22"/>
        </w:rPr>
        <w:t xml:space="preserve">Healthcare premium estimates are averages</w:t>
      </w:r>
    </w:p>
    <w:p>
      <w:pPr>
        <w:spacing w:after="200" w:line="320"/>
        <w:jc w:val="both"/>
      </w:pPr>
      <w:r>
        <w:rPr>
          <w:rFonts w:ascii="Georgia" w:cs="Georgia" w:eastAsia="Georgia" w:hAnsi="Georgia"/>
          <w:color w:val="1A1A1A"/>
          <w:sz w:val="22"/>
          <w:szCs w:val="22"/>
        </w:rPr>
        <w:t xml:space="preserve">The current system health insurance premium amounts ($1,400 single, $4,500 single+kids, $6,575 family) are averages from KFF surveys. Actual premiums vary substantially by employer (companies with large workforces typically pay higher percentages of premiums than small employers), by region (rural areas often face higher premiums), and by plan type (HSA-eligible plans have lower premiums but higher deductibles). Workers without employer-sponsored coverage face substantially higher premiums on individual market plans (often $5,000-$10,000+ per year for individual coverage). The platform's universal coverage eliminates this variation, but the comparison numbers reflect averages that may not match individual circumstances.</w:t>
      </w:r>
    </w:p>
    <w:p>
      <w:pPr>
        <w:pStyle w:val="Heading3"/>
        <w:spacing w:after="120" w:before="240"/>
      </w:pPr>
      <w:r>
        <w:rPr>
          <w:rFonts w:ascii="Arial" w:cs="Arial" w:eastAsia="Arial" w:hAnsi="Arial"/>
          <w:b/>
          <w:bCs/>
          <w:color w:val="C00000"/>
          <w:sz w:val="22"/>
          <w:szCs w:val="22"/>
        </w:rPr>
        <w:t xml:space="preserve">The Sovereign Fund accumulation is real but not 'spent' annually</w:t>
      </w:r>
    </w:p>
    <w:p>
      <w:pPr>
        <w:spacing w:after="200" w:line="320"/>
        <w:jc w:val="both"/>
      </w:pPr>
      <w:r>
        <w:rPr>
          <w:rFonts w:ascii="Georgia" w:cs="Georgia" w:eastAsia="Georgia" w:hAnsi="Georgia"/>
          <w:color w:val="1A1A1A"/>
          <w:sz w:val="22"/>
          <w:szCs w:val="22"/>
        </w:rPr>
        <w:t xml:space="preserve">Part of the platform contributions flows into individual Sovereign Fund balances rather than being consumed in the year. This is similar to how Social Security taxes today fund future benefits, but the Sovereign Fund's accumulation is more transparent and produces individual account balances rather than aggregate trust fund commitments. The numbers in this document don't credit the Sovereign Fund accumulation as a benefit (since it's not received in the year), but it represents real personal wealth accumulation that the current system doesn't produce as effectively.</w:t>
      </w:r>
    </w:p>
    <w:p>
      <w:pPr>
        <w:pStyle w:val="Heading3"/>
        <w:spacing w:after="120" w:before="240"/>
      </w:pPr>
      <w:r>
        <w:rPr>
          <w:rFonts w:ascii="Arial" w:cs="Arial" w:eastAsia="Arial" w:hAnsi="Arial"/>
          <w:b/>
          <w:bCs/>
          <w:color w:val="C00000"/>
          <w:sz w:val="22"/>
          <w:szCs w:val="22"/>
        </w:rPr>
        <w:t xml:space="preserve">Behavioral effects could shift things</w:t>
      </w:r>
    </w:p>
    <w:p>
      <w:pPr>
        <w:spacing w:after="200" w:line="320"/>
        <w:jc w:val="both"/>
      </w:pPr>
      <w:r>
        <w:rPr>
          <w:rFonts w:ascii="Georgia" w:cs="Georgia" w:eastAsia="Georgia" w:hAnsi="Georgia"/>
          <w:color w:val="1A1A1A"/>
          <w:sz w:val="22"/>
          <w:szCs w:val="22"/>
        </w:rPr>
        <w:t xml:space="preserve">The platform's design changes incentives in ways that affect actual revenue and individual behavior. Workers who currently optimize aggressively against the standard deduction might optimize differently against the wage floor exemption. Some workers might shift the timing of income recognition. Some self-employed workers might restructure their business arrangements. These behavioral effects are not captured in static scenario analysis. Real implementation would produce some variation from these projected numbers in directions that depend on actual behavior changes.</w:t>
      </w:r>
    </w:p>
    <w:p>
      <w:pPr>
        <w:pStyle w:val="Heading3"/>
        <w:spacing w:after="120" w:before="240"/>
      </w:pPr>
      <w:r>
        <w:rPr>
          <w:rFonts w:ascii="Arial" w:cs="Arial" w:eastAsia="Arial" w:hAnsi="Arial"/>
          <w:b/>
          <w:bCs/>
          <w:color w:val="C00000"/>
          <w:sz w:val="22"/>
          <w:szCs w:val="22"/>
        </w:rPr>
        <w:t xml:space="preserve">These scenarios are illustrative, not predictive</w:t>
      </w:r>
    </w:p>
    <w:p>
      <w:pPr>
        <w:spacing w:after="200" w:line="320"/>
        <w:jc w:val="both"/>
      </w:pPr>
      <w:r>
        <w:rPr>
          <w:rFonts w:ascii="Georgia" w:cs="Georgia" w:eastAsia="Georgia" w:hAnsi="Georgia"/>
          <w:color w:val="1A1A1A"/>
          <w:sz w:val="22"/>
          <w:szCs w:val="22"/>
        </w:rPr>
        <w:t xml:space="preserve">The scenarios represent typical configurations rather than exhaustive coverage. Real tax situations involve specific factors — 401(k) contributions, IRA contributions, HSA contributions, capital gains, dividend income, business income, rental income, mortgage interest deductions, state and local tax deductions, charitable contributions, and many others — that this document doesn't model. A reader's actual tax situation under either system will differ from the scenarios shown. The directional pattern (savings for working-class and middle-class workers, modest changes for high earners) holds across most realistic configurations, but the specific dollar amounts shouldn't be treated as predictions for any specific reader's situation.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The honest summary: these numbers are accurate enough to demonstrate the directional pattern of who benefits and who doesn't under the platform. They are not accurate enough to substitute for individual tax planning or to make precise predictions about any specific reader's tax bill. Treat them as illustrative of the platform's effects, not as the answer to 'what will my taxes be under the platform.'</w:t>
            </w:r>
          </w:p>
        </w:tc>
      </w:tr>
    </w:tbl>
    <w:p>
      <w:r>
        <w:br w:type="page"/>
      </w:r>
    </w:p>
    <w:p>
      <w:pPr>
        <w:pStyle w:val="Heading1"/>
        <w:spacing w:after="240" w:before="480"/>
      </w:pPr>
      <w:r>
        <w:rPr>
          <w:rFonts w:ascii="Arial" w:cs="Arial" w:eastAsia="Arial" w:hAnsi="Arial"/>
          <w:b/>
          <w:bCs/>
          <w:color w:val="1F4E78"/>
          <w:sz w:val="36"/>
          <w:szCs w:val="36"/>
        </w:rPr>
        <w:t>How the Federal Infrastructure Fee Affects You</w:t>
      </w:r>
    </w:p>
    <w:p>
      <w:pPr>
        <w:spacing w:after="240" w:line="340"/>
        <w:jc w:val="both"/>
      </w:pPr>
      <w:r>
        <w:rPr>
          <w:rFonts w:ascii="Georgia" w:cs="Georgia" w:eastAsia="Georgia" w:hAnsi="Georgia"/>
          <w:color w:val="1A1A1A"/>
          <w:sz w:val="24"/>
          <w:szCs w:val="24"/>
        </w:rPr>
        <w:t>v2.26 introduced the Federal Infrastructure Fee which establishes federal ownership of broadband and cellular infrastructure with companies paying a fee for using it. The fee replaces the Universal Service Fund and consolidates state telecom taxes into a single federal mechanism. The fee affects you in two ways depending on whether you are a household or a small business.</w:t>
      </w:r>
    </w:p>
    <w:p>
      <w:pPr>
        <w:spacing w:after="240" w:line="340"/>
        <w:jc w:val="both"/>
      </w:pPr>
      <w:r>
        <w:rPr>
          <w:rFonts w:ascii="Georgia" w:cs="Georgia" w:eastAsia="Georgia" w:hAnsi="Georgia"/>
          <w:color w:val="1A1A1A"/>
          <w:sz w:val="24"/>
          <w:szCs w:val="24"/>
        </w:rPr>
        <w:t>If you are a household. You receive free basic broadband under the platform's universal broadband commitment regardless of the fee architecture. You no longer pay USF (Universal Service Fund) contributions on your phone or internet bill (those go away). Companies may pass some portion of the infrastructure fee to consumers through pricing, with the Federal Infrastructure Fee document estimating approximately fifteen to thirty percent of the fee falls on consumers via pass-through. On a typical household basis, this would translate to less than ten dollars per month — substantially less than what you currently pay in USF and state telecom taxes which the fee replaces. The platform's pass-through prevention mechanisms (transparency requirements, FTC oversight, market structure remedies, and existing regulated-industry rate review processes) constrain pass-through to commercially reasonable levels.</w:t>
      </w:r>
    </w:p>
    <w:p>
      <w:pPr>
        <w:spacing w:after="240" w:line="340"/>
        <w:jc w:val="both"/>
      </w:pPr>
      <w:r>
        <w:rPr>
          <w:rFonts w:ascii="Georgia" w:cs="Georgia" w:eastAsia="Georgia" w:hAnsi="Georgia"/>
          <w:color w:val="1A1A1A"/>
          <w:sz w:val="24"/>
          <w:szCs w:val="24"/>
        </w:rPr>
        <w:t>If you are a small business owner. The Federal Infrastructure Fee uses a hybrid structure with three components: a six-hundred-dollar-per-year per-location fee, a one-hundred-seventy-five-dollar-per-year per-employee fee that exempts your first twenty-five employees, and a zero-point-zero-three-five percent surcharge on revenue above fifty million dollars per year. For a typical small business with eight employees, one location, and one and a half million dollars in revenue, the fee is six hundred dollars per year (location fee only — no employee fee due to the twenty-five-employee exemption, no revenue surcharge due to the fifty million dollar threshold). This is approximately what your current state telecom taxes plus USF surcharges already cost; the fee replaces both. For a medium business with seventy-five employees, two locations, and twenty million dollars in revenue, the fee is approximately ten thousand dollars per year. Worked examples for various company profiles are documented in the Federal Infrastructure Fee document.</w:t>
      </w:r>
    </w:p>
    <w:p>
      <w:pPr>
        <w:spacing w:after="240" w:line="340"/>
        <w:jc w:val="both"/>
      </w:pPr>
      <w:r>
        <w:rPr>
          <w:rFonts w:ascii="Georgia" w:cs="Georgia" w:eastAsia="Georgia" w:hAnsi="Georgia"/>
          <w:color w:val="1A1A1A"/>
          <w:sz w:val="24"/>
          <w:szCs w:val="24"/>
        </w:rPr>
        <w:t>If you are a public-purpose entity employee or supporter. Public hospitals, public schools, public libraries, public safety entities, tribal nation governments, public housing authorities, public transit agencies, and federal/state/local government agencies are exempt from the fee. For-profit equivalents (for-profit hospital chains, for-profit schools, private security companies, investor-owned utilities, private prisons) pay the fee. The exemption framework recognizes that charging fees to other federally-funded entities creates administrative drag without economic substance.</w:t>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This document has translated the platform's tax architecture from policy abstraction into personal financial information. Readers can now look at the scenario closest to their own situation and see what the platform would mean for their tax bill.</w:t>
      </w:r>
    </w:p>
    <w:p>
      <w:pPr>
        <w:spacing w:after="200" w:line="320"/>
        <w:jc w:val="both"/>
      </w:pPr>
      <w:r>
        <w:rPr>
          <w:rFonts w:ascii="Georgia" w:cs="Georgia" w:eastAsia="Georgia" w:hAnsi="Georgia"/>
          <w:color w:val="1A1A1A"/>
          <w:sz w:val="22"/>
          <w:szCs w:val="22"/>
        </w:rPr>
        <w:t xml:space="preserve">The pattern is clear and consistent across the full income range. Working-class workers (earning $20,000-$50,000) save 65-88% on their federal cost. Middle-class workers (earning $75,000-$150,000) save 40-79%. Upper-middle-class workers ($200,000-$500,000) save modestly, in the 4-15% range, with effects varying by filer category and dependent counts. High earners ($500,000-$1,000,000) see results ranging from small savings for some MFJ scenarios to small increases for single filers. Households earning above $1 million pay meaningfully more under the platform, with increases ranging from 1-23% depending on filer status and income level. The savings are largest in absolute dollar terms for middle-class families with children, who see annual savings ranging from $9,000 to $15,000 depending on filer category and household size.</w:t>
      </w:r>
    </w:p>
    <w:p>
      <w:pPr>
        <w:spacing w:after="200" w:line="320"/>
        <w:jc w:val="both"/>
      </w:pPr>
      <w:r>
        <w:rPr>
          <w:rFonts w:ascii="Georgia" w:cs="Georgia" w:eastAsia="Georgia" w:hAnsi="Georgia"/>
          <w:color w:val="1A1A1A"/>
          <w:sz w:val="22"/>
          <w:szCs w:val="22"/>
        </w:rPr>
        <w:t xml:space="preserve">The savings come from a combination of three sources: (1) the wage floor exemption replaces the standard deduction with a much-larger occupation-specific exemption for most workers, (2) FICA is replaced by lower-rate platform pillar contributions, and (3) health insurance premiums are eliminated entirely as universal healthcare replaces employer-sponsored insurance. The funding for these savings comes from administrative simplification (most of it), pharmaceutical pricing reform, the Sovereign Fund's investment returns, and modest additional contributions from high earners through the surcharge architecture.</w:t>
      </w:r>
    </w:p>
    <w:p>
      <w:pPr>
        <w:spacing w:after="200" w:line="320"/>
        <w:jc w:val="both"/>
      </w:pPr>
      <w:r>
        <w:rPr>
          <w:rFonts w:ascii="Georgia" w:cs="Georgia" w:eastAsia="Georgia" w:hAnsi="Georgia"/>
          <w:color w:val="1A1A1A"/>
          <w:sz w:val="22"/>
          <w:szCs w:val="22"/>
        </w:rPr>
        <w:t xml:space="preserve">The trade-offs are real but moderate. High earners pay somewhat more, with the increase ranging from a few thousand dollars to tens of thousands depending on income level. The platform doesn't produce dramatic redistribution through tax architecture alone; it produces dramatic restructuring of how working-class and middle-class workers receive value. Most of the savings emerge because the current system spends an enormous amount on administrative overhead that the platform's architecture eliminates.</w:t>
      </w:r>
    </w:p>
    <w:p>
      <w:pPr>
        <w:spacing w:after="200" w:line="320"/>
        <w:jc w:val="both"/>
      </w:pPr>
      <w:r>
        <w:rPr>
          <w:rFonts w:ascii="Georgia" w:cs="Georgia" w:eastAsia="Georgia" w:hAnsi="Georgia"/>
          <w:color w:val="1A1A1A"/>
          <w:sz w:val="22"/>
          <w:szCs w:val="22"/>
        </w:rPr>
        <w:t xml:space="preserve">Readers who find the savings appealing should engage with the platform's other documents to understand the full architecture. Readers who find the high-earner increases concerning should engage with the platform's analytical foundation to understand whether the trade-offs are genuinely necessary or could be modified. Either way, this document has provided what was missing: the personal financial translation of policy proposals into actual numbers for your situation.</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 asks: what would American economic life look like if working-class and middle-class workers received what they need without paying for what they currently pay? This document answers, in dollars: substantially better, with savings that range from a few thousand to over fourteen thousand dollars per year for typical American households.”</w:t>
            </w:r>
          </w:p>
        </w:tc>
      </w:tr>
    </w:tbl>
    <w:p>
      <w:pPr>
        <w:spacing w:after="400"/>
      </w:pPr>
      <w:r>
        <w:t xml:space="preserve"/>
      </w:r>
    </w:p>
    <w:p>
      <w:pPr>
        <w:spacing w:after="200" w:line="320"/>
        <w:jc w:val="both"/>
      </w:pPr>
      <w:r>
        <w:rPr>
          <w:rFonts w:ascii="Georgia" w:cs="Georgia" w:eastAsia="Georgia" w:hAnsi="Georgia"/>
          <w:color w:val="1A1A1A"/>
          <w:sz w:val="22"/>
          <w:szCs w:val="22"/>
        </w:rPr>
        <w:t xml:space="preserve">This document is offered as a starting point for personal evaluation. Readers should test it against their own situations, identify where the scenarios match their lives and where they diverge, and form their own assessment of what the platform would mean for them. The platform's success ultimately depends on whether enough Americans see substantive benefit to support its enactment. This document provides the personal-level information needed to make that assessment.</w:t>
      </w:r>
    </w:p>
    <w:p>
      <w:pPr>
        <w:spacing w:after="8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p>
      <w:pPr>
        <w:pStyle w:val="Heading1"/>
        <w:spacing w:after="240" w:before="480"/>
      </w:pPr>
      <w:r>
        <w:rPr>
          <w:rFonts w:ascii="Arial" w:cs="Arial" w:eastAsia="Arial" w:hAnsi="Arial"/>
          <w:b/>
          <w:bCs/>
          <w:color w:val="1F4E78"/>
          <w:sz w:val="36"/>
          <w:szCs w:val="36"/>
        </w:rPr>
        <w:t>Cross-References for Specific Household Situations</w:t>
      </w:r>
    </w:p>
    <w:p>
      <w:pPr>
        <w:spacing w:after="240" w:line="340"/>
        <w:jc w:val="both"/>
      </w:pPr>
      <w:r>
        <w:rPr>
          <w:rFonts w:ascii="Georgia" w:cs="Georgia" w:eastAsia="Georgia" w:hAnsi="Georgia"/>
          <w:color w:val="1A1A1A"/>
          <w:sz w:val="24"/>
          <w:szCs w:val="24"/>
        </w:rPr>
        <w:t>This document covers a range of typical household scenarios but treats each as a single filer or married-filing-jointly working household. The platform's treatment varies meaningfully for households outside these typical patterns. Readers whose household matches one of the situations below should consult the relevant analytical framing document for situation-specific analysis.</w:t>
      </w:r>
    </w:p>
    <w:p>
      <w:pPr>
        <w:spacing w:after="240" w:line="340"/>
        <w:jc w:val="both"/>
      </w:pPr>
      <w:r>
        <w:rPr>
          <w:rFonts w:ascii="Georgia" w:cs="Georgia" w:eastAsia="Georgia" w:hAnsi="Georgia"/>
          <w:color w:val="1A1A1A"/>
          <w:sz w:val="24"/>
          <w:szCs w:val="24"/>
        </w:rPr>
        <w:t>Retiree households: Existing Pensioners and the Platform. Retirement income is treated by the wage floor exemption through standard architecture, but the broader household savings figures in this document depend on labor income.</w:t>
      </w:r>
    </w:p>
    <w:p>
      <w:pPr>
        <w:spacing w:after="240" w:line="340"/>
        <w:jc w:val="both"/>
      </w:pPr>
      <w:r>
        <w:rPr>
          <w:rFonts w:ascii="Georgia" w:cs="Georgia" w:eastAsia="Georgia" w:hAnsi="Georgia"/>
          <w:color w:val="1A1A1A"/>
          <w:sz w:val="24"/>
          <w:szCs w:val="24"/>
        </w:rPr>
        <w:t>Cohabiting couples: Cohabiting Unmarried Couples. Cohabiting couples are treated as separate filers, producing different outcomes from the MFJ examples here.</w:t>
      </w:r>
    </w:p>
    <w:p>
      <w:pPr>
        <w:spacing w:after="240" w:line="340"/>
        <w:jc w:val="both"/>
      </w:pPr>
      <w:r>
        <w:rPr>
          <w:rFonts w:ascii="Georgia" w:cs="Georgia" w:eastAsia="Georgia" w:hAnsi="Georgia"/>
          <w:color w:val="1A1A1A"/>
          <w:sz w:val="24"/>
          <w:szCs w:val="24"/>
        </w:rPr>
        <w:t>Multigenerational households: Multigenerational Households. Three-generation households and households with adult children or grandparents-raising-grandchildren have specific Bridge Credit and dependent allocation considerations.</w:t>
      </w:r>
    </w:p>
    <w:p>
      <w:pPr>
        <w:spacing w:after="240" w:line="340"/>
        <w:jc w:val="both"/>
      </w:pPr>
      <w:r>
        <w:rPr>
          <w:rFonts w:ascii="Georgia" w:cs="Georgia" w:eastAsia="Georgia" w:hAnsi="Georgia"/>
          <w:color w:val="1A1A1A"/>
          <w:sz w:val="24"/>
          <w:szCs w:val="24"/>
        </w:rPr>
        <w:t>Public-sector workers: Public-Sector Worker Transitions. Federal employees with FEHB (Federal Employees Health Benefits), military families with TRICARE, FERS retirees, and Section 218 non-covered state workers experience the platform differently from private-sector workers.</w:t>
      </w:r>
    </w:p>
    <w:p>
      <w:pPr>
        <w:spacing w:after="240" w:line="340"/>
        <w:jc w:val="both"/>
      </w:pPr>
      <w:r>
        <w:rPr>
          <w:rFonts w:ascii="Georgia" w:cs="Georgia" w:eastAsia="Georgia" w:hAnsi="Georgia"/>
          <w:color w:val="1A1A1A"/>
          <w:sz w:val="24"/>
          <w:szCs w:val="24"/>
        </w:rPr>
        <w:t>Section 8 households: Section 8 Housing and Federal Housing Assistance. Universal childcare and universal healthcare interact with HUD income calculations in ways that produce an apparent rent increase even though total household economic position improves. Item 69 documents this dynamic and outlines communication needs.</w:t>
      </w:r>
    </w:p>
    <w:p>
      <w:pPr>
        <w:spacing w:after="240" w:line="340"/>
        <w:jc w:val="both"/>
      </w:pPr>
      <w:r>
        <w:rPr>
          <w:rFonts w:ascii="Georgia" w:cs="Georgia" w:eastAsia="Georgia" w:hAnsi="Georgia"/>
          <w:color w:val="1A1A1A"/>
          <w:sz w:val="24"/>
          <w:szCs w:val="24"/>
        </w:rPr>
        <w:t>TANF (Temporary Assistance for Needy Families) families: TANF and Cash Assistance. Universal childcare and universal healthcare substantially modify the calculation of work requirements, sanctions, and the lifetime time limit. Item 70 outlines three design directions the platform faces.</w:t>
      </w:r>
    </w:p>
    <w:p>
      <w:pPr>
        <w:spacing w:after="240" w:line="340"/>
        <w:jc w:val="both"/>
      </w:pPr>
      <w:r>
        <w:rPr>
          <w:rFonts w:ascii="Georgia" w:cs="Georgia" w:eastAsia="Georgia" w:hAnsi="Georgia"/>
          <w:color w:val="1A1A1A"/>
          <w:sz w:val="24"/>
          <w:szCs w:val="24"/>
        </w:rPr>
        <w:t>Non-citizen and mixed-status families: Non-Citizens And Platform Eligibility. The platform's eligibility design for unauthorized workers, mixed-status families, and lawful permanent residents has substantial open questions that the Non-Citizens And Platform Eligibility document covers.</w:t>
      </w:r>
    </w:p>
    <w:p>
      <w:pPr>
        <w:spacing w:after="240" w:line="340"/>
        <w:jc w:val="both"/>
      </w:pPr>
      <w:r>
        <w:rPr>
          <w:rFonts w:ascii="Georgia" w:cs="Georgia" w:eastAsia="Georgia" w:hAnsi="Georgia"/>
          <w:color w:val="1A1A1A"/>
          <w:sz w:val="24"/>
          <w:szCs w:val="24"/>
        </w:rPr>
        <w:t>Territorial residents: US Territories and the Platform. Federal income tax architecture varies substantially across the five inhabited territories.</w:t>
      </w:r>
    </w:p>
    <w:p>
      <w:pPr>
        <w:pStyle w:val="Heading1"/>
        <w:spacing w:after="240" w:before="480"/>
      </w:pPr>
      <w:r>
        <w:rPr>
          <w:rFonts w:ascii="Arial" w:cs="Arial" w:eastAsia="Arial" w:hAnsi="Arial"/>
          <w:b/>
          <w:bCs/>
          <w:color w:val="1F4E78"/>
          <w:sz w:val="36"/>
          <w:szCs w:val="36"/>
        </w:rPr>
        <w:t>Small-Business Year-by-Year Transition Timeline</w:t>
      </w:r>
    </w:p>
    <w:p>
      <w:pPr>
        <w:spacing w:before="480"/>
        <w:jc w:val="center"/>
      </w:pPr>
      <w:r>
        <w:rPr>
          <w:rFonts w:ascii="Arial" w:cs="Arial" w:eastAsia="Arial" w:hAnsi="Arial"/>
          <w:i/>
          <w:iCs/>
          <w:color w:val="595959"/>
          <w:sz w:val="16"/>
          <w:szCs w:val="16"/>
        </w:rPr>
        <w:t>This section addresses a transition-timeline-compressed finding from the v3.1.0 small-business-owner persona simulation. Small business owners planning capital expenditures over 3-5 years would benefit from a year-by-year timeline of what changes and when. This section provides that timeline at the level of detail a small business needs for capital-allocation planning.</w:t>
      </w:r>
    </w:p>
    <w:p>
      <w:pPr>
        <w:spacing w:before="480"/>
        <w:jc w:val="center"/>
      </w:pPr>
      <w:r>
        <w:rPr>
          <w:rFonts w:ascii="Arial" w:cs="Arial" w:eastAsia="Arial" w:hAnsi="Arial"/>
          <w:i/>
          <w:iCs/>
          <w:color w:val="595959"/>
          <w:sz w:val="16"/>
          <w:szCs w:val="16"/>
        </w:rPr>
        <w:t>Year 1 (enactment year). Federal Infrastructure Fee becomes operative; small businesses begin paying FIF on telecommunications services consumption (reduced-fee schedule for businesses under the small-business size threshold). State-level telecom-tax patchwork begins consolidating; some state-level telecom taxes discontinue immediately, others continue through state-level transition periods. Universal healthcare contributions begin for businesses with employees; small businesses see a payroll change of 4 percent employer contribution. Wage-floor architecture becomes operative; federal income tax on employees structurally below their occupational wage floor falls to zero (employee-side effect, not employer-side, but small-business owners often pay themselves through W-2 and see this directly).</w:t>
      </w:r>
    </w:p>
    <w:p>
      <w:pPr>
        <w:spacing w:before="480"/>
        <w:jc w:val="center"/>
      </w:pPr>
      <w:r>
        <w:rPr>
          <w:rFonts w:ascii="Arial" w:cs="Arial" w:eastAsia="Arial" w:hAnsi="Arial"/>
          <w:i/>
          <w:iCs/>
          <w:color w:val="595959"/>
          <w:sz w:val="16"/>
          <w:szCs w:val="16"/>
        </w:rPr>
        <w:t>Year 2-3 (early adjustment period). State-level telecom tax consolidation completes in most states; small businesses see net telecom-tax burden reduce relative to Year 1 (FIF rate plus remaining state-level fees combined are typically lower than pre-transition state telecom tax). Healthcare contribution rate remains stable at 4/2 split. Calculator-based FIF estimation becomes routine annual planning step; small businesses incorporate FIF rate into recurring telecom budget. Universal healthcare transition continues; small businesses begin to see private-health-insurance cost savings as employees transition to universal coverage (employer-side savings appear when current health-insurance contracts expire).</w:t>
      </w:r>
    </w:p>
    <w:p>
      <w:pPr>
        <w:spacing w:before="480"/>
        <w:jc w:val="center"/>
      </w:pPr>
      <w:r>
        <w:rPr>
          <w:rFonts w:ascii="Arial" w:cs="Arial" w:eastAsia="Arial" w:hAnsi="Arial"/>
          <w:i/>
          <w:iCs/>
          <w:color w:val="595959"/>
          <w:sz w:val="16"/>
          <w:szCs w:val="16"/>
        </w:rPr>
        <w:t>Year 4-5 (steady state approaches). Universal healthcare transition completes for most employees; small businesses see substantial reduction in private-health-insurance employer contribution obligations. Net employer-side cost reduction (eliminated private health premiums minus added universal healthcare contribution) produces a structural cost reduction for small businesses with employees, with magnitude depending on prior health-insurance structure. Sovereign Fund accumulation becomes visible at the household level; employees report higher net household financial security, which improves recruitment and retention for small businesses competing on benefits packages.</w:t>
      </w:r>
    </w:p>
    <w:p>
      <w:pPr>
        <w:spacing w:before="480"/>
        <w:jc w:val="center"/>
      </w:pPr>
      <w:r>
        <w:rPr>
          <w:rFonts w:ascii="Arial" w:cs="Arial" w:eastAsia="Arial" w:hAnsi="Arial"/>
          <w:i/>
          <w:iCs/>
          <w:color w:val="595959"/>
          <w:sz w:val="16"/>
          <w:szCs w:val="16"/>
        </w:rPr>
        <w:t>Year 6-10 (steady state). Platform operates in steady state. Small businesses see the platform's full structural effect: predictable infrastructure costs through FIF; reduced healthcare administration through universal coverage; stable wage-floor architecture for federal income tax; employee retention benefits from Sovereign Fund accumulation; reduced multi-jurisdiction compliance burden from telecom-tax consolidation. Capital-allocation decisions during this period are made against stable platform parameters rather than transition-uncertainty parameters.</w:t>
      </w:r>
    </w:p>
    <w:p>
      <w:pPr>
        <w:spacing w:before="480"/>
        <w:jc w:val="center"/>
      </w:pPr>
      <w:r>
        <w:rPr>
          <w:rFonts w:ascii="Arial" w:cs="Arial" w:eastAsia="Arial" w:hAnsi="Arial"/>
          <w:i/>
          <w:iCs/>
          <w:color w:val="595959"/>
          <w:sz w:val="16"/>
          <w:szCs w:val="16"/>
        </w:rPr>
        <w:t>Why this timeline matters. Small business owners' anxiety about transition periods centers on capital-allocation risk: making capital decisions while platform parameters are still adjusting. The year-by-year timeline above shows that platform parameters stabilize within roughly five years and that the steady-state operation is structurally favorable for typical small businesses. Capital decisions made in Year 1-2 face the highest transition-uncertainty; decisions made in Year 4-5 face mostly steady-state parameters; decisions made Year 6+ operate in fully-stabilized platform structure. Specific timeline milestones may shift modestly based on enactment-path details and state-level transition speeds; the architectural intent is stability within five years.</w:t>
      </w:r>
    </w:p>
    <w:p>
      <w:pPr>
        <w:pStyle w:val="Heading1"/>
        <w:spacing w:after="240" w:before="480"/>
      </w:pPr>
      <w:r>
        <w:rPr>
          <w:rFonts w:ascii="Arial" w:cs="Arial" w:eastAsia="Arial" w:hAnsi="Arial"/>
          <w:b/>
          <w:bCs/>
          <w:color w:val="1F4E78"/>
          <w:sz w:val="36"/>
          <w:szCs w:val="36"/>
        </w:rPr>
        <w:t>Healthcare Transition Frequently Asked Questions</w:t>
      </w:r>
    </w:p>
    <w:p>
      <w:pPr>
        <w:spacing w:before="480"/>
        <w:jc w:val="center"/>
      </w:pPr>
      <w:r>
        <w:rPr>
          <w:rFonts w:ascii="Arial" w:cs="Arial" w:eastAsia="Arial" w:hAnsi="Arial"/>
          <w:i/>
          <w:iCs/>
          <w:color w:val="595959"/>
          <w:sz w:val="16"/>
          <w:szCs w:val="16"/>
        </w:rPr>
        <w:t>This section addresses a healthcare-transition-anxiety finding from the v3.1.0 concerned-citizen persona simulation. Healthcare transition is a high-anxiety topic and the platform's general treatment is high-level. This section addresses concrete worries in frequently-asked-question format.</w:t>
      </w:r>
    </w:p>
    <w:p>
      <w:pPr>
        <w:spacing w:before="480"/>
        <w:jc w:val="center"/>
      </w:pPr>
      <w:r>
        <w:rPr>
          <w:rFonts w:ascii="Arial" w:cs="Arial" w:eastAsia="Arial" w:hAnsi="Arial"/>
          <w:i/>
          <w:iCs/>
          <w:color w:val="595959"/>
          <w:sz w:val="16"/>
          <w:szCs w:val="16"/>
        </w:rPr>
        <w:t>What happens to my current doctor? Universal healthcare under the platform does not change the doctor-patient relationship. The platform is a coverage-and-financing change rather than a delivery-system change. Your current doctor continues to be your doctor; the change is what payment system covers the visit. Doctors and clinics that accept patients today continue to accept patients under the platform. The platform's payment rates to providers are set through a transparent process documented in the Healthcare Transition Detailed Plan; the rates are designed to be sustainable for current providers rather than to disrupt the existing provider workforce.</w:t>
      </w:r>
    </w:p>
    <w:p>
      <w:pPr>
        <w:spacing w:before="480"/>
        <w:jc w:val="center"/>
      </w:pPr>
      <w:r>
        <w:rPr>
          <w:rFonts w:ascii="Arial" w:cs="Arial" w:eastAsia="Arial" w:hAnsi="Arial"/>
          <w:i/>
          <w:iCs/>
          <w:color w:val="595959"/>
          <w:sz w:val="16"/>
          <w:szCs w:val="16"/>
        </w:rPr>
        <w:t>What happens to my prescriptions? Prescription-drug coverage under universal healthcare is comprehensive; the formulary structure is designed to maintain access to medications you currently take. Specifically: medications currently on common formularies (the drugs most insurance plans cover) remain available; specialty medications follow a structured authorization process (similar to current prior-authorization but with more transparent criteria); medications in active development or recently approved follow the standard FDA-approval-to-formulary timeline. If your medication is currently covered by your insurance, it is extremely likely to be covered under universal healthcare; specific exceptions would be rare and structured.</w:t>
      </w:r>
    </w:p>
    <w:p>
      <w:pPr>
        <w:spacing w:before="480"/>
        <w:jc w:val="center"/>
      </w:pPr>
      <w:r>
        <w:rPr>
          <w:rFonts w:ascii="Arial" w:cs="Arial" w:eastAsia="Arial" w:hAnsi="Arial"/>
          <w:i/>
          <w:iCs/>
          <w:color w:val="595959"/>
          <w:sz w:val="16"/>
          <w:szCs w:val="16"/>
        </w:rPr>
        <w:t>What happens to my employer's plan? Employer-sponsored health insurance transitions during the multi-year transition window. Specifically: employers continue providing current coverage during the transition; new hires during the transition window enroll in universal coverage rather than employer plans; existing employees transition to universal coverage either at coverage-renewal milestones or at the end of the transition window, whichever comes first. Employees do not face coverage gaps during transition (this is a structural feature of the transition mechanics, not an aspirational goal). Employers see administrative burden reduction as employees transition off employer plans.</w:t>
      </w:r>
    </w:p>
    <w:p>
      <w:pPr>
        <w:spacing w:before="480"/>
        <w:jc w:val="center"/>
      </w:pPr>
      <w:r>
        <w:rPr>
          <w:rFonts w:ascii="Arial" w:cs="Arial" w:eastAsia="Arial" w:hAnsi="Arial"/>
          <w:i/>
          <w:iCs/>
          <w:color w:val="595959"/>
          <w:sz w:val="16"/>
          <w:szCs w:val="16"/>
        </w:rPr>
        <w:t>What if I lose my job during the transition? Universal healthcare coverage is not tied to employment; coverage is universal regardless of employment status. Loss of employment during transition does not produce coverage gaps (which is a meaningful improvement over the current system, where employer-sponsored coverage typically ends 30-90 days after employment ends, producing potential gaps). The Sovereign Fund retirement architecture is similarly not tied to employment; accumulation continues regardless of employment status.</w:t>
      </w:r>
    </w:p>
    <w:p>
      <w:pPr>
        <w:spacing w:before="480"/>
        <w:jc w:val="center"/>
      </w:pPr>
      <w:r>
        <w:rPr>
          <w:rFonts w:ascii="Arial" w:cs="Arial" w:eastAsia="Arial" w:hAnsi="Arial"/>
          <w:i/>
          <w:iCs/>
          <w:color w:val="595959"/>
          <w:sz w:val="16"/>
          <w:szCs w:val="16"/>
        </w:rPr>
        <w:t>What about specialists I see now? Specialty care under universal healthcare follows a structured referral process similar to managed-care plans today, with transparent criteria for specialty referrals. Specialists you currently see remain your specialists; the change is the payment system. Specialty care availability is designed to match current availability rather than to constrain access. Wait times for specialty care are projected to be comparable to current wait times in the early years of universal coverage, with gradual improvement as the system stabilizes (specific wait-time projections require external healthcare-economics modeling, tracked as part of RESEARCH-4).</w:t>
      </w:r>
    </w:p>
    <w:p>
      <w:pPr>
        <w:pStyle w:val="Heading1"/>
        <w:spacing w:after="240" w:before="480"/>
      </w:pPr>
      <w:r>
        <w:rPr>
          <w:rFonts w:ascii="Arial" w:cs="Arial" w:eastAsia="Arial" w:hAnsi="Arial"/>
          <w:b/>
          <w:bCs/>
          <w:color w:val="1F4E78"/>
          <w:sz w:val="36"/>
          <w:szCs w:val="36"/>
        </w:rPr>
        <w:t>Social Security Benefits Under the Platform</w:t>
      </w:r>
    </w:p>
    <w:p>
      <w:pPr>
        <w:spacing w:before="480"/>
        <w:jc w:val="center"/>
      </w:pPr>
      <w:r>
        <w:rPr>
          <w:rFonts w:ascii="Arial" w:cs="Arial" w:eastAsia="Arial" w:hAnsi="Arial"/>
          <w:i/>
          <w:iCs/>
          <w:color w:val="595959"/>
          <w:sz w:val="16"/>
          <w:szCs w:val="16"/>
        </w:rPr>
        <w:t>This section addresses a retirement-security-framing finding from the v3.1.0 concerned-citizen persona simulation. Retirees and near-retirees frequently ask first: 'will my Social Security benefits be reduced?' The answer is no; this section states this directly rather than requiring readers to infer it from the platform's broader architecture.</w:t>
      </w:r>
    </w:p>
    <w:p>
      <w:pPr>
        <w:spacing w:before="480"/>
        <w:jc w:val="center"/>
      </w:pPr>
      <w:r>
        <w:rPr>
          <w:rFonts w:ascii="Arial" w:cs="Arial" w:eastAsia="Arial" w:hAnsi="Arial"/>
          <w:i/>
          <w:iCs/>
          <w:color w:val="595959"/>
          <w:sz w:val="16"/>
          <w:szCs w:val="16"/>
        </w:rPr>
        <w:t>Social Security benefits under the platform: not reduced. Retirees currently receiving Social Security continue to receive their Social Security benefits at current levels and with current annual cost-of-living adjustments. The platform's Sovereign Fund retirement architecture supplements Social Security rather than replacing it. Workers approaching retirement age continue to accrue Social Security benefits through their working years and receive Social Security at retirement based on the standard Social Security benefit formula.</w:t>
      </w:r>
    </w:p>
    <w:p>
      <w:pPr>
        <w:spacing w:before="480"/>
        <w:jc w:val="center"/>
      </w:pPr>
      <w:r>
        <w:rPr>
          <w:rFonts w:ascii="Arial" w:cs="Arial" w:eastAsia="Arial" w:hAnsi="Arial"/>
          <w:i/>
          <w:iCs/>
          <w:color w:val="595959"/>
          <w:sz w:val="16"/>
          <w:szCs w:val="16"/>
        </w:rPr>
        <w:t>Why this is the case. The platform's Sovereign Fund architecture is structurally additive: Sovereign Fund balances accumulate through new contribution mechanisms (employer-side and employee-side contributions, plus Founding Stake collection at platform launch). The Sovereign Fund does not draw from Social Security trust funds; the two systems operate in parallel. Social Security remains funded through FICA taxes as currently structured. The platform's broader fiscal architecture (documented in the Federal Fiscal Impact Analysis) does not require reducing Social Security benefits to fund the platform's other programs.</w:t>
      </w:r>
    </w:p>
    <w:p>
      <w:pPr>
        <w:spacing w:before="480"/>
        <w:jc w:val="center"/>
      </w:pPr>
      <w:r>
        <w:rPr>
          <w:rFonts w:ascii="Arial" w:cs="Arial" w:eastAsia="Arial" w:hAnsi="Arial"/>
          <w:i/>
          <w:iCs/>
          <w:color w:val="595959"/>
          <w:sz w:val="16"/>
          <w:szCs w:val="16"/>
        </w:rPr>
        <w:t>What does change. What changes for retirees and near-retirees is supplemental: (1) Sovereign Fund balances begin accumulating from platform launch; retirees see annual dividend distributions from their Sovereign Fund balance in addition to Social Security; (2) universal healthcare reduces healthcare costs for retirees, particularly out-of-pocket prescription costs and supplemental-insurance premium costs; (3) the wage-floor architecture and federal-income-tax restructuring may reduce federal income tax for retirees with modest Social Security plus modest retirement-savings income, depending on the structure of their other income. None of these changes reduces Social Security; all are supplemental improvements to retiree financial security.</w:t>
      </w:r>
    </w:p>
    <w:p>
      <w:pPr>
        <w:spacing w:after="240" w:line="340"/>
        <w:jc w:val="both"/>
      </w:pPr>
      <w:r>
        <w:rPr>
          <w:rFonts w:ascii="Georgia" w:cs="Georgia" w:eastAsia="Georgia" w:hAnsi="Georgia"/>
          <w:color w:val="1A1A1A"/>
          <w:sz w:val="24"/>
          <w:szCs w:val="24"/>
        </w:rPr>
        <w:t>Older Americans facing long-term care: Aging-in-Place Implications. Long-term care is the platform's largest single coverage gap; Aging-in-Place Implications documents what the platform does and does not address for CCRC residents, assisted living, nursing home, HCBS, and informal caregiver populations.</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What This Means For You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What This Means For You — Tax Comparison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This Means For You — Side-by-Side Tax Comparisons</dc:title>
  <dc:creator>Jason Robertson</dc:creator>
  <cp:lastModifiedBy>Un-named</cp:lastModifiedBy>
  <cp:revision>1</cp:revision>
  <dcterms:created xsi:type="dcterms:W3CDTF">2026-05-04T15:10:19.156Z</dcterms:created>
  <dcterms:modified xsi:type="dcterms:W3CDTF">2026-05-04T15:10:19.156Z</dcterms:modified>
</cp:coreProperties>
</file>

<file path=docProps/custom.xml><?xml version="1.0" encoding="utf-8"?>
<Properties xmlns="http://schemas.openxmlformats.org/officeDocument/2006/custom-properties" xmlns:vt="http://schemas.openxmlformats.org/officeDocument/2006/docPropsVTypes"/>
</file>